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line="240" w:lineRule="auto"/>
        <w:jc w:val="left"/>
        <w:rPr>
          <w:rFonts w:ascii="Times New Roman" w:eastAsiaTheme="minorEastAsia" w:hAnsi="Times New Roman"/>
          <w:sz w:val="2"/>
          <w:szCs w:val="2"/>
        </w:rPr>
      </w:pPr>
    </w:p>
    <w:p>
      <w:pPr>
        <w:spacing w:after="120" w:line="240" w:lineRule="auto"/>
        <w:jc w:val="center"/>
        <w:rPr>
          <w:b/>
          <w:szCs w:val="28"/>
        </w:rPr>
      </w:pPr>
      <w:r>
        <w:rPr>
          <w:b/>
          <w:szCs w:val="28"/>
        </w:rPr>
        <w:t>Информация о ходе и результатах работы по выполнению</w:t>
      </w:r>
    </w:p>
    <w:p>
      <w:pPr>
        <w:spacing w:after="120" w:line="240" w:lineRule="auto"/>
        <w:jc w:val="center"/>
        <w:rPr>
          <w:b/>
          <w:szCs w:val="28"/>
        </w:rPr>
      </w:pPr>
      <w:r>
        <w:rPr>
          <w:b/>
          <w:szCs w:val="28"/>
        </w:rPr>
        <w:t>Плана Территориального органа Федеральной службы государственной статистики</w:t>
      </w:r>
    </w:p>
    <w:p>
      <w:pPr>
        <w:spacing w:line="240" w:lineRule="auto"/>
        <w:jc w:val="center"/>
        <w:rPr>
          <w:b/>
          <w:szCs w:val="28"/>
        </w:rPr>
      </w:pPr>
      <w:r>
        <w:rPr>
          <w:b/>
          <w:szCs w:val="28"/>
        </w:rPr>
        <w:t>по Калужской области по противодействию коррупции на 2018-2020 годы</w:t>
      </w:r>
    </w:p>
    <w:p>
      <w:pPr>
        <w:spacing w:line="240" w:lineRule="auto"/>
        <w:jc w:val="center"/>
        <w:rPr>
          <w:b/>
          <w:szCs w:val="28"/>
        </w:rPr>
      </w:pPr>
      <w:r>
        <w:rPr>
          <w:b/>
          <w:szCs w:val="28"/>
        </w:rPr>
        <w:t>за 2019 год</w:t>
      </w:r>
    </w:p>
    <w:p>
      <w:pPr>
        <w:spacing w:line="240" w:lineRule="atLeast"/>
        <w:jc w:val="center"/>
        <w:rPr>
          <w:b/>
          <w:szCs w:val="28"/>
        </w:rPr>
      </w:pPr>
    </w:p>
    <w:p>
      <w:pPr>
        <w:spacing w:line="240" w:lineRule="atLeast"/>
        <w:jc w:val="center"/>
        <w:rPr>
          <w:b/>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70"/>
        <w:gridCol w:w="2328"/>
        <w:gridCol w:w="1641"/>
        <w:gridCol w:w="4961"/>
      </w:tblGrid>
      <w:tr>
        <w:trPr>
          <w:tblHeader/>
        </w:trPr>
        <w:tc>
          <w:tcPr>
            <w:tcW w:w="852" w:type="dxa"/>
            <w:shd w:val="clear" w:color="auto" w:fill="auto"/>
          </w:tcPr>
          <w:p>
            <w:pPr>
              <w:spacing w:line="240" w:lineRule="atLeast"/>
              <w:jc w:val="center"/>
              <w:rPr>
                <w:b/>
                <w:sz w:val="24"/>
                <w:szCs w:val="24"/>
              </w:rPr>
            </w:pPr>
            <w:r>
              <w:rPr>
                <w:b/>
                <w:sz w:val="24"/>
                <w:szCs w:val="24"/>
              </w:rPr>
              <w:t>№ п/п</w:t>
            </w:r>
          </w:p>
        </w:tc>
        <w:tc>
          <w:tcPr>
            <w:tcW w:w="5670" w:type="dxa"/>
            <w:shd w:val="clear" w:color="auto" w:fill="auto"/>
          </w:tcPr>
          <w:p>
            <w:pPr>
              <w:spacing w:line="240" w:lineRule="atLeast"/>
              <w:jc w:val="center"/>
              <w:rPr>
                <w:b/>
                <w:sz w:val="24"/>
                <w:szCs w:val="24"/>
              </w:rPr>
            </w:pPr>
            <w:r>
              <w:rPr>
                <w:b/>
                <w:sz w:val="24"/>
                <w:szCs w:val="24"/>
              </w:rPr>
              <w:t>Мероприятия</w:t>
            </w:r>
          </w:p>
        </w:tc>
        <w:tc>
          <w:tcPr>
            <w:tcW w:w="2328" w:type="dxa"/>
            <w:shd w:val="clear" w:color="auto" w:fill="auto"/>
          </w:tcPr>
          <w:p>
            <w:pPr>
              <w:spacing w:line="240" w:lineRule="atLeast"/>
              <w:jc w:val="center"/>
              <w:rPr>
                <w:b/>
                <w:sz w:val="24"/>
                <w:szCs w:val="24"/>
              </w:rPr>
            </w:pPr>
            <w:r>
              <w:rPr>
                <w:b/>
                <w:sz w:val="24"/>
                <w:szCs w:val="24"/>
              </w:rPr>
              <w:t>Ответственные исполнители</w:t>
            </w:r>
          </w:p>
        </w:tc>
        <w:tc>
          <w:tcPr>
            <w:tcW w:w="1641" w:type="dxa"/>
            <w:shd w:val="clear" w:color="auto" w:fill="auto"/>
          </w:tcPr>
          <w:p>
            <w:pPr>
              <w:spacing w:line="240" w:lineRule="atLeast"/>
              <w:jc w:val="center"/>
              <w:rPr>
                <w:b/>
                <w:sz w:val="24"/>
                <w:szCs w:val="24"/>
              </w:rPr>
            </w:pPr>
            <w:r>
              <w:rPr>
                <w:b/>
                <w:sz w:val="24"/>
                <w:szCs w:val="24"/>
              </w:rPr>
              <w:t>Срок исполнения</w:t>
            </w:r>
          </w:p>
        </w:tc>
        <w:tc>
          <w:tcPr>
            <w:tcW w:w="4961" w:type="dxa"/>
            <w:shd w:val="clear" w:color="auto" w:fill="auto"/>
          </w:tcPr>
          <w:p>
            <w:pPr>
              <w:spacing w:line="240" w:lineRule="atLeast"/>
              <w:jc w:val="center"/>
              <w:rPr>
                <w:b/>
                <w:sz w:val="24"/>
                <w:szCs w:val="24"/>
              </w:rPr>
            </w:pPr>
            <w:r>
              <w:rPr>
                <w:b/>
                <w:sz w:val="24"/>
                <w:szCs w:val="24"/>
              </w:rPr>
              <w:t>Выполнение плана</w:t>
            </w:r>
          </w:p>
        </w:tc>
      </w:tr>
      <w:tr>
        <w:tc>
          <w:tcPr>
            <w:tcW w:w="15452" w:type="dxa"/>
            <w:gridSpan w:val="5"/>
            <w:shd w:val="clear" w:color="auto" w:fill="auto"/>
          </w:tcPr>
          <w:p>
            <w:pPr>
              <w:numPr>
                <w:ilvl w:val="0"/>
                <w:numId w:val="1"/>
              </w:numPr>
              <w:spacing w:after="120" w:line="240" w:lineRule="auto"/>
              <w:jc w:val="center"/>
              <w:rPr>
                <w:b/>
                <w:sz w:val="24"/>
                <w:szCs w:val="24"/>
              </w:rPr>
            </w:pPr>
            <w:r>
              <w:rPr>
                <w:b/>
                <w:sz w:val="24"/>
                <w:szCs w:val="24"/>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Калужской области (Калугастата)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 активизация работы по формированию у них отрицательного отношения к коррупции</w:t>
            </w:r>
          </w:p>
        </w:tc>
      </w:tr>
      <w:tr>
        <w:trPr>
          <w:trHeight w:val="1690"/>
        </w:trPr>
        <w:tc>
          <w:tcPr>
            <w:tcW w:w="852" w:type="dxa"/>
            <w:shd w:val="clear" w:color="auto" w:fill="auto"/>
          </w:tcPr>
          <w:p>
            <w:pPr>
              <w:spacing w:after="120"/>
              <w:jc w:val="center"/>
              <w:rPr>
                <w:sz w:val="24"/>
                <w:szCs w:val="24"/>
              </w:rPr>
            </w:pPr>
            <w:r>
              <w:rPr>
                <w:sz w:val="24"/>
                <w:szCs w:val="24"/>
              </w:rPr>
              <w:t>1.1</w:t>
            </w:r>
          </w:p>
        </w:tc>
        <w:tc>
          <w:tcPr>
            <w:tcW w:w="5670" w:type="dxa"/>
            <w:shd w:val="clear" w:color="auto" w:fill="auto"/>
          </w:tcPr>
          <w:p>
            <w:pPr>
              <w:spacing w:line="240" w:lineRule="atLeast"/>
              <w:rPr>
                <w:b/>
              </w:rPr>
            </w:pPr>
            <w:r>
              <w:rPr>
                <w:sz w:val="24"/>
                <w:szCs w:val="24"/>
              </w:rPr>
              <w:t>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(далее - Комиссия)</w:t>
            </w:r>
          </w:p>
        </w:tc>
        <w:tc>
          <w:tcPr>
            <w:tcW w:w="2328" w:type="dxa"/>
            <w:shd w:val="clear" w:color="auto" w:fill="auto"/>
          </w:tcPr>
          <w:p>
            <w:pPr>
              <w:spacing w:line="240" w:lineRule="atLeast"/>
              <w:jc w:val="center"/>
              <w:rPr>
                <w:b/>
              </w:rPr>
            </w:pPr>
            <w:r>
              <w:rPr>
                <w:sz w:val="24"/>
                <w:szCs w:val="24"/>
              </w:rPr>
              <w:t>Административный отдел</w:t>
            </w:r>
          </w:p>
        </w:tc>
        <w:tc>
          <w:tcPr>
            <w:tcW w:w="1641" w:type="dxa"/>
            <w:shd w:val="clear" w:color="auto" w:fill="auto"/>
          </w:tcPr>
          <w:p>
            <w:pPr>
              <w:spacing w:line="240" w:lineRule="auto"/>
              <w:jc w:val="center"/>
              <w:rPr>
                <w:sz w:val="24"/>
                <w:szCs w:val="24"/>
              </w:rPr>
            </w:pPr>
            <w:r>
              <w:rPr>
                <w:sz w:val="24"/>
                <w:szCs w:val="24"/>
              </w:rPr>
              <w:t>В течение</w:t>
            </w:r>
          </w:p>
          <w:p>
            <w:pPr>
              <w:spacing w:line="240" w:lineRule="auto"/>
              <w:jc w:val="center"/>
              <w:rPr>
                <w:sz w:val="24"/>
                <w:szCs w:val="24"/>
              </w:rPr>
            </w:pPr>
            <w:r>
              <w:rPr>
                <w:sz w:val="24"/>
                <w:szCs w:val="24"/>
              </w:rPr>
              <w:t>2018-2020 гг.</w:t>
            </w:r>
          </w:p>
        </w:tc>
        <w:tc>
          <w:tcPr>
            <w:tcW w:w="4961" w:type="dxa"/>
            <w:shd w:val="clear" w:color="auto" w:fill="auto"/>
          </w:tcPr>
          <w:p>
            <w:pPr>
              <w:tabs>
                <w:tab w:val="left" w:pos="8370"/>
              </w:tabs>
              <w:spacing w:line="240" w:lineRule="auto"/>
              <w:rPr>
                <w:sz w:val="24"/>
                <w:szCs w:val="24"/>
              </w:rPr>
            </w:pPr>
            <w:r>
              <w:rPr>
                <w:color w:val="000000"/>
                <w:sz w:val="24"/>
                <w:szCs w:val="24"/>
              </w:rPr>
              <w:t xml:space="preserve">За 2019 год проведено </w:t>
            </w:r>
            <w:r>
              <w:rPr>
                <w:b/>
                <w:color w:val="000000"/>
                <w:sz w:val="24"/>
                <w:szCs w:val="24"/>
              </w:rPr>
              <w:t>6</w:t>
            </w:r>
            <w:r>
              <w:rPr>
                <w:color w:val="000000"/>
                <w:sz w:val="24"/>
                <w:szCs w:val="24"/>
              </w:rPr>
              <w:t xml:space="preserve"> заседаний комиссии</w:t>
            </w:r>
            <w:r>
              <w:rPr>
                <w:sz w:val="24"/>
                <w:szCs w:val="24"/>
              </w:rPr>
              <w:t xml:space="preserve"> </w:t>
            </w:r>
            <w:r>
              <w:rPr>
                <w:color w:val="000000"/>
                <w:sz w:val="24"/>
                <w:szCs w:val="24"/>
              </w:rPr>
              <w:t>по соблюдению требований к служебному поведению федеральных государственных гражданских служащих Калугастата и урегулированию конфликта интересов (далее – Комиссия). На заседаниях комиссии рассматривались вопросы о заключении трудового договора с бывшими федеральными государственными гражданскими служащими Калугастата, ранее замещавшими должности государственной гражданской службы.</w:t>
            </w:r>
            <w:r>
              <w:rPr>
                <w:sz w:val="24"/>
                <w:szCs w:val="24"/>
              </w:rPr>
              <w:t xml:space="preserve"> </w:t>
            </w:r>
            <w:r>
              <w:rPr>
                <w:color w:val="000000"/>
                <w:sz w:val="24"/>
                <w:szCs w:val="24"/>
              </w:rPr>
              <w:t>Комиссией</w:t>
            </w:r>
            <w:r>
              <w:rPr>
                <w:rStyle w:val="FontStyle21"/>
                <w:sz w:val="24"/>
                <w:szCs w:val="24"/>
              </w:rPr>
              <w:t xml:space="preserve"> также</w:t>
            </w:r>
            <w:r>
              <w:rPr>
                <w:color w:val="000000"/>
                <w:sz w:val="24"/>
                <w:szCs w:val="24"/>
              </w:rPr>
              <w:t xml:space="preserve"> </w:t>
            </w:r>
            <w:r>
              <w:rPr>
                <w:rFonts w:ascii="Times New Roman" w:hAnsi="Times New Roman"/>
                <w:sz w:val="24"/>
                <w:szCs w:val="24"/>
              </w:rPr>
              <w:t xml:space="preserve">пересмотрен Реестр должностей   федеральной государственной гражданской службы в Территориальном органе  Федеральной службы государственной статистики по Калужской области, включенных в перечень должностей федеральной государственной гражданской </w:t>
            </w:r>
            <w:r>
              <w:rPr>
                <w:rFonts w:ascii="Times New Roman" w:hAnsi="Times New Roman"/>
                <w:sz w:val="24"/>
                <w:szCs w:val="24"/>
              </w:rPr>
              <w:lastRenderedPageBreak/>
              <w:t>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вопрос о подведении итогов анализа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Калугастата за 2018 год, и гражданами, претендующими на замещение должностей федеральной государственной гражданской службы в 2018 году.</w:t>
            </w:r>
          </w:p>
        </w:tc>
      </w:tr>
      <w:tr>
        <w:tc>
          <w:tcPr>
            <w:tcW w:w="852" w:type="dxa"/>
            <w:shd w:val="clear" w:color="auto" w:fill="auto"/>
          </w:tcPr>
          <w:p>
            <w:pPr>
              <w:spacing w:after="120"/>
              <w:jc w:val="center"/>
              <w:rPr>
                <w:sz w:val="24"/>
                <w:szCs w:val="24"/>
              </w:rPr>
            </w:pPr>
            <w:r>
              <w:rPr>
                <w:sz w:val="24"/>
                <w:szCs w:val="24"/>
              </w:rPr>
              <w:lastRenderedPageBreak/>
              <w:t>1.2</w:t>
            </w:r>
          </w:p>
        </w:tc>
        <w:tc>
          <w:tcPr>
            <w:tcW w:w="5670" w:type="dxa"/>
            <w:shd w:val="clear" w:color="auto" w:fill="auto"/>
          </w:tcPr>
          <w:p>
            <w:pPr>
              <w:spacing w:after="120" w:line="240" w:lineRule="auto"/>
              <w:rPr>
                <w:sz w:val="24"/>
                <w:szCs w:val="24"/>
              </w:rPr>
            </w:pPr>
            <w:r>
              <w:rPr>
                <w:rStyle w:val="FontStyle33"/>
              </w:rPr>
              <w:t>Контроль за соблюдением гражданскими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uto"/>
              <w:jc w:val="center"/>
              <w:rPr>
                <w:sz w:val="24"/>
                <w:szCs w:val="24"/>
              </w:rPr>
            </w:pPr>
            <w:r>
              <w:rPr>
                <w:sz w:val="24"/>
                <w:szCs w:val="24"/>
              </w:rPr>
              <w:t>В течение 2018-2020 гг.</w:t>
            </w:r>
          </w:p>
        </w:tc>
        <w:tc>
          <w:tcPr>
            <w:tcW w:w="4961" w:type="dxa"/>
            <w:shd w:val="clear" w:color="auto" w:fill="auto"/>
          </w:tcPr>
          <w:p>
            <w:pPr>
              <w:spacing w:line="240" w:lineRule="atLeast"/>
              <w:rPr>
                <w:rStyle w:val="FontStyle33"/>
              </w:rPr>
            </w:pPr>
            <w:r>
              <w:rPr>
                <w:rStyle w:val="FontStyle33"/>
              </w:rPr>
              <w:t xml:space="preserve">В результате мониторинга за отчитываемый период случаев несоблюдения гражданскими служащими Калугастата ограничений, связанных с прохождением службы в случае близкого родства или свойства (родители, супруги, дети, братья, сестры, а также братья, сестры, родители, дети супругов и супруги детей), если замещение должности гражданской службы связано с непосредственной подчиненностью или подконтрольностью одного из них другому, а также других случаев, касающихся </w:t>
            </w:r>
            <w:r>
              <w:rPr>
                <w:rStyle w:val="FontStyle33"/>
              </w:rPr>
              <w:lastRenderedPageBreak/>
              <w:t>предотвращения и урегулирования конфликта интересов, не выявлено</w:t>
            </w:r>
          </w:p>
          <w:p>
            <w:pPr>
              <w:spacing w:line="240" w:lineRule="atLeast"/>
              <w:rPr>
                <w:sz w:val="24"/>
                <w:szCs w:val="24"/>
              </w:rPr>
            </w:pPr>
          </w:p>
        </w:tc>
      </w:tr>
      <w:tr>
        <w:tc>
          <w:tcPr>
            <w:tcW w:w="852" w:type="dxa"/>
            <w:shd w:val="clear" w:color="auto" w:fill="auto"/>
          </w:tcPr>
          <w:p>
            <w:pPr>
              <w:spacing w:after="120"/>
              <w:jc w:val="center"/>
              <w:rPr>
                <w:sz w:val="24"/>
                <w:szCs w:val="24"/>
              </w:rPr>
            </w:pPr>
            <w:r>
              <w:rPr>
                <w:sz w:val="24"/>
                <w:szCs w:val="24"/>
              </w:rPr>
              <w:lastRenderedPageBreak/>
              <w:t>1.3</w:t>
            </w:r>
          </w:p>
        </w:tc>
        <w:tc>
          <w:tcPr>
            <w:tcW w:w="5670" w:type="dxa"/>
            <w:shd w:val="clear" w:color="auto" w:fill="auto"/>
          </w:tcPr>
          <w:p>
            <w:pPr>
              <w:spacing w:after="120" w:line="240" w:lineRule="auto"/>
              <w:rPr>
                <w:rStyle w:val="FontStyle33"/>
              </w:rPr>
            </w:pPr>
            <w:r>
              <w:rPr>
                <w:rStyle w:val="FontStyle33"/>
              </w:rPr>
              <w:t>Принятие мер по повышению эффективности кадровой работы в части, касающейся ведения личных дел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Калугастат при поступлении на федеральную государственную гражданскую службу, в целях выявления конфликта интересов (с учетом использованию централизованной автоматизированной системы управления кадровыми ресурсами информационно-вычислительной системы Росстата (АСУКР)</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uto"/>
              <w:jc w:val="center"/>
              <w:rPr>
                <w:sz w:val="24"/>
                <w:szCs w:val="24"/>
              </w:rPr>
            </w:pPr>
            <w:r>
              <w:rPr>
                <w:sz w:val="24"/>
                <w:szCs w:val="24"/>
              </w:rPr>
              <w:t>В течение 2018-2020 гг.</w:t>
            </w:r>
          </w:p>
        </w:tc>
        <w:tc>
          <w:tcPr>
            <w:tcW w:w="4961" w:type="dxa"/>
            <w:shd w:val="clear" w:color="auto" w:fill="auto"/>
          </w:tcPr>
          <w:p>
            <w:pPr>
              <w:spacing w:line="240" w:lineRule="atLeast"/>
              <w:rPr>
                <w:rStyle w:val="FontStyle33"/>
              </w:rPr>
            </w:pPr>
            <w:r>
              <w:rPr>
                <w:rStyle w:val="FontStyle33"/>
              </w:rPr>
              <w:t>При приеме на государственную гражданскую службу на основе данных анкет личного дела гражданского служащего анализировались сведения в целях выявления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Росстата (АСУКР) с использованием отчета 3601. Конфликт интересов не выявлен.</w:t>
            </w:r>
          </w:p>
        </w:tc>
      </w:tr>
      <w:tr>
        <w:tc>
          <w:tcPr>
            <w:tcW w:w="852" w:type="dxa"/>
            <w:shd w:val="clear" w:color="auto" w:fill="auto"/>
          </w:tcPr>
          <w:p>
            <w:pPr>
              <w:spacing w:after="120"/>
              <w:jc w:val="center"/>
              <w:rPr>
                <w:sz w:val="24"/>
                <w:szCs w:val="24"/>
              </w:rPr>
            </w:pPr>
            <w:r>
              <w:rPr>
                <w:sz w:val="24"/>
                <w:szCs w:val="24"/>
              </w:rPr>
              <w:t>1.4</w:t>
            </w:r>
          </w:p>
        </w:tc>
        <w:tc>
          <w:tcPr>
            <w:tcW w:w="5670" w:type="dxa"/>
            <w:shd w:val="clear" w:color="auto" w:fill="auto"/>
          </w:tcPr>
          <w:p>
            <w:pPr>
              <w:spacing w:after="120" w:line="240" w:lineRule="auto"/>
              <w:rPr>
                <w:rStyle w:val="FontStyle33"/>
              </w:rPr>
            </w:pPr>
            <w:r>
              <w:rPr>
                <w:sz w:val="24"/>
                <w:szCs w:val="24"/>
              </w:rPr>
              <w:t>Организация приема и анализа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Российской Федерации размещались общедоступная информация, а также данные, позволяющие его идентифицировать</w:t>
            </w:r>
          </w:p>
        </w:tc>
        <w:tc>
          <w:tcPr>
            <w:tcW w:w="2328" w:type="dxa"/>
            <w:shd w:val="clear" w:color="auto" w:fill="auto"/>
          </w:tcPr>
          <w:p>
            <w:pPr>
              <w:spacing w:line="240" w:lineRule="auto"/>
              <w:jc w:val="center"/>
              <w:rPr>
                <w:sz w:val="24"/>
                <w:szCs w:val="24"/>
              </w:rPr>
            </w:pPr>
            <w:r>
              <w:rPr>
                <w:rFonts w:ascii="Times New Roman" w:hAnsi="Times New Roman"/>
                <w:sz w:val="24"/>
                <w:szCs w:val="24"/>
              </w:rPr>
              <w:t>Административный отдел</w:t>
            </w:r>
          </w:p>
        </w:tc>
        <w:tc>
          <w:tcPr>
            <w:tcW w:w="1641" w:type="dxa"/>
            <w:shd w:val="clear" w:color="auto" w:fill="auto"/>
          </w:tcPr>
          <w:p>
            <w:pPr>
              <w:spacing w:line="240" w:lineRule="auto"/>
              <w:jc w:val="center"/>
              <w:rPr>
                <w:rStyle w:val="FontStyle33"/>
              </w:rPr>
            </w:pPr>
            <w:r>
              <w:rPr>
                <w:rStyle w:val="FontStyle33"/>
              </w:rPr>
              <w:t>Ежегодно до 1 апреля,</w:t>
            </w:r>
          </w:p>
          <w:p>
            <w:pPr>
              <w:spacing w:line="240" w:lineRule="auto"/>
              <w:jc w:val="center"/>
              <w:rPr>
                <w:rStyle w:val="FontStyle33"/>
              </w:rPr>
            </w:pPr>
          </w:p>
          <w:p>
            <w:pPr>
              <w:spacing w:line="240" w:lineRule="auto"/>
              <w:jc w:val="center"/>
              <w:rPr>
                <w:sz w:val="24"/>
                <w:szCs w:val="24"/>
              </w:rPr>
            </w:pPr>
            <w:r>
              <w:rPr>
                <w:rStyle w:val="FontStyle33"/>
              </w:rPr>
              <w:t>в течение 2018-2020 гг.</w:t>
            </w:r>
          </w:p>
        </w:tc>
        <w:tc>
          <w:tcPr>
            <w:tcW w:w="4961" w:type="dxa"/>
            <w:shd w:val="clear" w:color="auto" w:fill="auto"/>
          </w:tcPr>
          <w:p>
            <w:pPr>
              <w:spacing w:line="240" w:lineRule="atLeast"/>
              <w:rPr>
                <w:rStyle w:val="FontStyle33"/>
              </w:rPr>
            </w:pPr>
            <w:r>
              <w:rPr>
                <w:sz w:val="24"/>
                <w:szCs w:val="24"/>
              </w:rPr>
              <w:t xml:space="preserve">В соответствии со статьей 20.2 «Представлению сведений о размещении информации в информационно-телекоммуникационной сети Интернет» Федерального закона № 79-ФЗ в 2019 году была проведена работа по представлению сведений о размещении информации в информационно-телекоммуникационной сети Интернет. Данные сведения за 2018 год были представлены всеми гражданскими служащими не позднее 1 апреля 2019 года. Данная информация также представлялась 12 гражданами, претендующими на замещение должностей гражданской службы при поступлении на федеральную государственную гражданскую службу, за три года, предшествующих году поступления на </w:t>
            </w:r>
            <w:r>
              <w:rPr>
                <w:sz w:val="24"/>
                <w:szCs w:val="24"/>
              </w:rPr>
              <w:lastRenderedPageBreak/>
              <w:t>гражданскую службу. Эта информация представлялась по форме, утвержденной Правительством РФ. За 2019 год всего было представлено и проанализировано 179 формы.</w:t>
            </w:r>
          </w:p>
        </w:tc>
      </w:tr>
      <w:tr>
        <w:tc>
          <w:tcPr>
            <w:tcW w:w="852" w:type="dxa"/>
            <w:shd w:val="clear" w:color="auto" w:fill="auto"/>
          </w:tcPr>
          <w:p>
            <w:pPr>
              <w:spacing w:after="120"/>
              <w:jc w:val="center"/>
              <w:rPr>
                <w:sz w:val="24"/>
                <w:szCs w:val="24"/>
              </w:rPr>
            </w:pPr>
            <w:r>
              <w:rPr>
                <w:sz w:val="24"/>
                <w:szCs w:val="24"/>
              </w:rPr>
              <w:lastRenderedPageBreak/>
              <w:t>1.5</w:t>
            </w:r>
          </w:p>
        </w:tc>
        <w:tc>
          <w:tcPr>
            <w:tcW w:w="5670" w:type="dxa"/>
            <w:shd w:val="clear" w:color="auto" w:fill="auto"/>
          </w:tcPr>
          <w:p>
            <w:pPr>
              <w:spacing w:line="240" w:lineRule="auto"/>
              <w:rPr>
                <w:rStyle w:val="FontStyle33"/>
              </w:rPr>
            </w:pPr>
            <w:r>
              <w:rPr>
                <w:rStyle w:val="FontStyle33"/>
              </w:rPr>
              <w:t xml:space="preserve">Организация приема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и членами их семей. </w:t>
            </w:r>
          </w:p>
          <w:p>
            <w:pPr>
              <w:spacing w:line="240" w:lineRule="auto"/>
              <w:rPr>
                <w:sz w:val="24"/>
                <w:szCs w:val="24"/>
              </w:rPr>
            </w:pPr>
            <w:r>
              <w:rPr>
                <w:rStyle w:val="FontStyle33"/>
              </w:rPr>
              <w:t>Обеспечение контроля за своевременностью представления указанных сведений</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after="120" w:line="240" w:lineRule="auto"/>
              <w:jc w:val="center"/>
              <w:rPr>
                <w:sz w:val="24"/>
                <w:szCs w:val="24"/>
              </w:rPr>
            </w:pPr>
            <w:r>
              <w:rPr>
                <w:rStyle w:val="FontStyle33"/>
              </w:rPr>
              <w:t>В течение 2018-2020 гг.</w:t>
            </w:r>
          </w:p>
        </w:tc>
        <w:tc>
          <w:tcPr>
            <w:tcW w:w="4961" w:type="dxa"/>
            <w:shd w:val="clear" w:color="auto" w:fill="auto"/>
          </w:tcPr>
          <w:p>
            <w:pPr>
              <w:spacing w:line="240" w:lineRule="atLeast"/>
              <w:rPr>
                <w:sz w:val="24"/>
                <w:szCs w:val="24"/>
              </w:rPr>
            </w:pPr>
            <w:r>
              <w:rPr>
                <w:rStyle w:val="FontStyle33"/>
              </w:rPr>
              <w:t>Гражданами, претендующими на замещение должностей федеральной государственной гражданской службы, своевременно представляются сведения о доходах, об имуществе и обязательствах имущественного характера своих и членов своей семьи. В 2019 году на должности государственной гражданской службы были приняты 12 человек, которые представили справки о доходах, имуществе и обязательствах имущественного характера. При заполнении справок использовалось программное обеспечение «Справки БК». Всем претендующим на должности была оказана консультативная помощь по вопросам противодействия коррупции и заполнения справок о доходах, об имуществе и обязательствах имущественного характера.</w:t>
            </w:r>
          </w:p>
        </w:tc>
      </w:tr>
      <w:tr>
        <w:trPr>
          <w:trHeight w:val="703"/>
        </w:trPr>
        <w:tc>
          <w:tcPr>
            <w:tcW w:w="852" w:type="dxa"/>
            <w:shd w:val="clear" w:color="auto" w:fill="auto"/>
          </w:tcPr>
          <w:p>
            <w:pPr>
              <w:spacing w:after="120"/>
              <w:jc w:val="center"/>
              <w:rPr>
                <w:sz w:val="24"/>
                <w:szCs w:val="24"/>
              </w:rPr>
            </w:pPr>
            <w:r>
              <w:rPr>
                <w:sz w:val="24"/>
                <w:szCs w:val="24"/>
              </w:rPr>
              <w:t>1.6</w:t>
            </w:r>
          </w:p>
        </w:tc>
        <w:tc>
          <w:tcPr>
            <w:tcW w:w="5670" w:type="dxa"/>
            <w:shd w:val="clear" w:color="auto" w:fill="auto"/>
          </w:tcPr>
          <w:p>
            <w:pPr>
              <w:spacing w:line="240" w:lineRule="atLeast"/>
              <w:rPr>
                <w:sz w:val="24"/>
                <w:szCs w:val="24"/>
              </w:rPr>
            </w:pPr>
            <w:r>
              <w:rPr>
                <w:sz w:val="24"/>
                <w:szCs w:val="24"/>
              </w:rPr>
              <w:t>Организация приема сведений о доходах, расходах, об имуществе и обязательствах имущественного характера, представляемых гражданскими служащими и членами их семей.</w:t>
            </w:r>
          </w:p>
          <w:p>
            <w:pPr>
              <w:spacing w:line="240" w:lineRule="atLeast"/>
              <w:rPr>
                <w:sz w:val="24"/>
                <w:szCs w:val="24"/>
              </w:rPr>
            </w:pPr>
            <w:r>
              <w:rPr>
                <w:sz w:val="24"/>
                <w:szCs w:val="24"/>
              </w:rPr>
              <w:t>Обеспечение контроля за своевременностью представления указанных сведений</w:t>
            </w:r>
          </w:p>
        </w:tc>
        <w:tc>
          <w:tcPr>
            <w:tcW w:w="2328" w:type="dxa"/>
            <w:shd w:val="clear" w:color="auto" w:fill="auto"/>
          </w:tcPr>
          <w:p>
            <w:pPr>
              <w:spacing w:line="240" w:lineRule="atLeast"/>
              <w:jc w:val="center"/>
              <w:rPr>
                <w:sz w:val="24"/>
                <w:szCs w:val="24"/>
              </w:rPr>
            </w:pPr>
            <w:r>
              <w:rPr>
                <w:sz w:val="24"/>
                <w:szCs w:val="24"/>
              </w:rPr>
              <w:t>Административный отдел,</w:t>
            </w:r>
          </w:p>
          <w:p>
            <w:pPr>
              <w:spacing w:line="240" w:lineRule="atLeast"/>
              <w:jc w:val="center"/>
              <w:rPr>
                <w:sz w:val="24"/>
                <w:szCs w:val="24"/>
              </w:rPr>
            </w:pPr>
            <w:r>
              <w:rPr>
                <w:sz w:val="24"/>
                <w:szCs w:val="24"/>
              </w:rPr>
              <w:t>Комиссия</w:t>
            </w:r>
          </w:p>
        </w:tc>
        <w:tc>
          <w:tcPr>
            <w:tcW w:w="1641" w:type="dxa"/>
            <w:shd w:val="clear" w:color="auto" w:fill="auto"/>
          </w:tcPr>
          <w:p>
            <w:pPr>
              <w:spacing w:line="240" w:lineRule="atLeast"/>
              <w:jc w:val="center"/>
              <w:rPr>
                <w:sz w:val="24"/>
                <w:szCs w:val="24"/>
              </w:rPr>
            </w:pPr>
            <w:r>
              <w:rPr>
                <w:sz w:val="24"/>
                <w:szCs w:val="24"/>
              </w:rPr>
              <w:t>Ежегодно до</w:t>
            </w:r>
          </w:p>
          <w:p>
            <w:pPr>
              <w:spacing w:line="240" w:lineRule="atLeast"/>
              <w:jc w:val="center"/>
              <w:rPr>
                <w:sz w:val="24"/>
                <w:szCs w:val="24"/>
              </w:rPr>
            </w:pPr>
            <w:r>
              <w:rPr>
                <w:sz w:val="24"/>
                <w:szCs w:val="24"/>
              </w:rPr>
              <w:t xml:space="preserve">30 апреля </w:t>
            </w:r>
          </w:p>
        </w:tc>
        <w:tc>
          <w:tcPr>
            <w:tcW w:w="4961" w:type="dxa"/>
            <w:shd w:val="clear" w:color="auto" w:fill="auto"/>
          </w:tcPr>
          <w:p>
            <w:pPr>
              <w:spacing w:after="120" w:line="240" w:lineRule="auto"/>
              <w:rPr>
                <w:sz w:val="24"/>
                <w:szCs w:val="24"/>
              </w:rPr>
            </w:pPr>
            <w:r>
              <w:rPr>
                <w:sz w:val="24"/>
                <w:szCs w:val="24"/>
              </w:rPr>
              <w:t xml:space="preserve">До 30 апреля 2019 года, руководствуясь Указом Президента Российской Федерации от 18 мая 2009 года № 559, Указом Президента Российской Федерации от 23.07.2014 № 460, письмом Росстата от 11.01.2019 № 15-15-7/100-ТО, была проведена работа по представлению федеральными государственными гражданскими служащими Калугастата, замещающими должности, включенные в Реестр должностей, </w:t>
            </w:r>
            <w:r>
              <w:rPr>
                <w:sz w:val="24"/>
                <w:szCs w:val="24"/>
              </w:rPr>
              <w:lastRenderedPageBreak/>
              <w:t>подверженных риску коррупционных проявлений,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 за 2018 год. Всего было представлено 60 справок.</w:t>
            </w:r>
          </w:p>
          <w:p>
            <w:pPr>
              <w:spacing w:after="120" w:line="240" w:lineRule="auto"/>
              <w:rPr>
                <w:sz w:val="24"/>
                <w:szCs w:val="24"/>
              </w:rPr>
            </w:pPr>
            <w:r>
              <w:rPr>
                <w:sz w:val="24"/>
                <w:szCs w:val="24"/>
              </w:rPr>
              <w:t>Все гражданские служащие, подверженные риску коррупционных проявлений, в соответствии с вышеназванным письмом Росстата были ознакомлены с обновленными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а также с Основными новеллами в методических рекомендациях, разработанные Минтрудом России при участии Администрации Президента Российской Федерации и Генеральной прокуратуры Российской Федерации. Также этому вопросу представления сведений о доходах в ходе декларационной кампании 2019 года (за отчетный 2018 год) была посвящена тема семинара, проведенного в январе 2019г.</w:t>
            </w:r>
          </w:p>
          <w:p>
            <w:pPr>
              <w:spacing w:after="120" w:line="240" w:lineRule="auto"/>
              <w:rPr>
                <w:sz w:val="24"/>
                <w:szCs w:val="24"/>
              </w:rPr>
            </w:pPr>
            <w:r>
              <w:rPr>
                <w:sz w:val="24"/>
                <w:szCs w:val="24"/>
              </w:rPr>
              <w:t xml:space="preserve">В 2019 году при заполнении справок о доходах, расходах. об имуществе и </w:t>
            </w:r>
            <w:r>
              <w:rPr>
                <w:sz w:val="24"/>
                <w:szCs w:val="24"/>
              </w:rPr>
              <w:lastRenderedPageBreak/>
              <w:t>обязательствах имущественного характера также использовалось специальное программное обеспечение «Справки БК». Согласно письму Росстата от 10.12.2018 № 15015-7/5838-ТО справки в 2019 году впервые представлялись и на бумажном\. и на электронном носителе. Справки гражданских служащих Калугастата были внесены в модуль «Анализ доходов и расходов» АСУКР. Согласно письму Росстата от 20.12.2018 № 15-15-7/6108-ТО в АСУКР была создана папка обмена Калугастата с Росстатом, в которую были размещены электронные справки руководства территориального органа.</w:t>
            </w:r>
          </w:p>
          <w:p>
            <w:pPr>
              <w:spacing w:after="120" w:line="240" w:lineRule="auto"/>
              <w:rPr>
                <w:sz w:val="24"/>
                <w:szCs w:val="24"/>
              </w:rPr>
            </w:pPr>
            <w:r>
              <w:rPr>
                <w:sz w:val="24"/>
                <w:szCs w:val="24"/>
              </w:rPr>
              <w:t>Все гражданские служащие Калугастата, подверженные риску коррупционных проявлений, были ознакомлены с Обзором ошибок, выявленных по итогам анализа справок о доходах, расходах, имуществе и обязательствах имущественного характера, представленных гражданскими служащими Росстата, за 2018 год, подготовленным отделом по профилактике коррупционных и иных нарушений административного управления Росстата (письмо Росстата от 12.11.2019 № 15-15-7/5326-ТО).</w:t>
            </w:r>
          </w:p>
        </w:tc>
      </w:tr>
      <w:tr>
        <w:tc>
          <w:tcPr>
            <w:tcW w:w="852" w:type="dxa"/>
            <w:shd w:val="clear" w:color="auto" w:fill="auto"/>
          </w:tcPr>
          <w:p>
            <w:pPr>
              <w:spacing w:after="120"/>
              <w:jc w:val="center"/>
              <w:rPr>
                <w:sz w:val="24"/>
                <w:szCs w:val="24"/>
              </w:rPr>
            </w:pPr>
            <w:r>
              <w:rPr>
                <w:sz w:val="24"/>
                <w:szCs w:val="24"/>
              </w:rPr>
              <w:lastRenderedPageBreak/>
              <w:t>1.7</w:t>
            </w:r>
          </w:p>
        </w:tc>
        <w:tc>
          <w:tcPr>
            <w:tcW w:w="5670" w:type="dxa"/>
            <w:shd w:val="clear" w:color="auto" w:fill="auto"/>
          </w:tcPr>
          <w:p>
            <w:pPr>
              <w:spacing w:after="120" w:line="240" w:lineRule="auto"/>
              <w:rPr>
                <w:sz w:val="24"/>
                <w:szCs w:val="24"/>
              </w:rPr>
            </w:pPr>
            <w:r>
              <w:rPr>
                <w:sz w:val="24"/>
                <w:szCs w:val="24"/>
              </w:rPr>
              <w:t xml:space="preserve">Подготовка к опубликованию сведений о доходах, расходах, об имуществе и обязательствах имущественного характера на официальном сайте Калугастата и размещение указанных сведений на </w:t>
            </w:r>
            <w:r>
              <w:rPr>
                <w:sz w:val="24"/>
                <w:szCs w:val="24"/>
              </w:rPr>
              <w:lastRenderedPageBreak/>
              <w:t>официальном сайте Калугастата</w:t>
            </w:r>
            <w:r>
              <w:t xml:space="preserve"> </w:t>
            </w:r>
            <w:r>
              <w:rPr>
                <w:rStyle w:val="FontStyle33"/>
              </w:rPr>
              <w:t>в информационно-телекоммуникационной сети «Интернет»</w:t>
            </w:r>
          </w:p>
        </w:tc>
        <w:tc>
          <w:tcPr>
            <w:tcW w:w="2328" w:type="dxa"/>
            <w:shd w:val="clear" w:color="auto" w:fill="auto"/>
          </w:tcPr>
          <w:p>
            <w:pPr>
              <w:spacing w:line="240" w:lineRule="auto"/>
              <w:jc w:val="center"/>
              <w:rPr>
                <w:sz w:val="24"/>
                <w:szCs w:val="24"/>
              </w:rPr>
            </w:pPr>
            <w:r>
              <w:rPr>
                <w:sz w:val="24"/>
                <w:szCs w:val="24"/>
              </w:rPr>
              <w:lastRenderedPageBreak/>
              <w:t>Административный отдел,</w:t>
            </w:r>
          </w:p>
          <w:p>
            <w:pPr>
              <w:spacing w:line="240" w:lineRule="auto"/>
              <w:jc w:val="center"/>
              <w:rPr>
                <w:sz w:val="24"/>
                <w:szCs w:val="24"/>
              </w:rPr>
            </w:pPr>
            <w:r>
              <w:rPr>
                <w:sz w:val="24"/>
                <w:szCs w:val="24"/>
              </w:rPr>
              <w:t>отдел информационных технологий</w:t>
            </w:r>
          </w:p>
        </w:tc>
        <w:tc>
          <w:tcPr>
            <w:tcW w:w="1641" w:type="dxa"/>
            <w:shd w:val="clear" w:color="auto" w:fill="auto"/>
          </w:tcPr>
          <w:p>
            <w:pPr>
              <w:spacing w:after="120" w:line="240" w:lineRule="auto"/>
              <w:jc w:val="center"/>
              <w:rPr>
                <w:sz w:val="24"/>
                <w:szCs w:val="24"/>
              </w:rPr>
            </w:pPr>
            <w:r>
              <w:rPr>
                <w:sz w:val="24"/>
                <w:szCs w:val="24"/>
              </w:rPr>
              <w:t xml:space="preserve">В течение  14 рабочих дней со дня истечения срока, </w:t>
            </w:r>
            <w:r>
              <w:rPr>
                <w:sz w:val="24"/>
                <w:szCs w:val="24"/>
              </w:rPr>
              <w:lastRenderedPageBreak/>
              <w:t>установленного для подачи указанных сведений</w:t>
            </w:r>
          </w:p>
        </w:tc>
        <w:tc>
          <w:tcPr>
            <w:tcW w:w="4961" w:type="dxa"/>
            <w:shd w:val="clear" w:color="auto" w:fill="auto"/>
          </w:tcPr>
          <w:p>
            <w:pPr>
              <w:spacing w:after="120" w:line="240" w:lineRule="auto"/>
              <w:rPr>
                <w:sz w:val="24"/>
                <w:szCs w:val="24"/>
              </w:rPr>
            </w:pPr>
            <w:r>
              <w:rPr>
                <w:sz w:val="24"/>
                <w:szCs w:val="24"/>
              </w:rPr>
              <w:lastRenderedPageBreak/>
              <w:t xml:space="preserve">. Сведения о доходах, расходах, об имуществе и обязательствах имущественного характера гражданских служащих, исполнение должностных обязанностей которыми связано с коррупционными рисками (Реестр </w:t>
            </w:r>
            <w:r>
              <w:rPr>
                <w:sz w:val="24"/>
                <w:szCs w:val="24"/>
              </w:rPr>
              <w:lastRenderedPageBreak/>
              <w:t xml:space="preserve">должностей), в течении 14 рабочих дней после 30 апреля были подготовлены и размещены на официальном сайте Калугастата в информационно-телекоммуникационной сети Интернет. На сайте размещены сведения не всех гражданских служащих из Реестра, а согласно приказу Росстата от 15.05.2018 </w:t>
            </w:r>
            <w:r>
              <w:rPr>
                <w:sz w:val="24"/>
                <w:szCs w:val="24"/>
              </w:rPr>
              <w:br/>
              <w:t xml:space="preserve">№ 306 (зарегистрирован в Минюсте России 5.06.2018), который внес  изменение в перечень должностей, замещение которых влечет за собой размещение сведений о доходах, расходах, имуществе и обязательствах имущественного характера федеральных государственных гражданских служащих и членов их семей на официальных сайтах Федеральной службы государственной статистики и ее территориальных органах. </w:t>
            </w:r>
          </w:p>
          <w:p>
            <w:pPr>
              <w:spacing w:after="120" w:line="240" w:lineRule="auto"/>
              <w:rPr>
                <w:sz w:val="24"/>
                <w:szCs w:val="24"/>
              </w:rPr>
            </w:pPr>
            <w:r>
              <w:rPr>
                <w:sz w:val="24"/>
                <w:szCs w:val="24"/>
              </w:rPr>
              <w:t>Сведения о доходах, расходах, об имуществе и обязательствах имущественного характера руководителя и заместителей руководителя территориального органа для размещения на сайте были представлены в Росстат в назначенные сроки.</w:t>
            </w:r>
          </w:p>
        </w:tc>
      </w:tr>
      <w:tr>
        <w:trPr>
          <w:trHeight w:val="1129"/>
        </w:trPr>
        <w:tc>
          <w:tcPr>
            <w:tcW w:w="852" w:type="dxa"/>
            <w:shd w:val="clear" w:color="auto" w:fill="auto"/>
          </w:tcPr>
          <w:p>
            <w:pPr>
              <w:spacing w:after="120"/>
              <w:jc w:val="center"/>
              <w:rPr>
                <w:sz w:val="24"/>
                <w:szCs w:val="24"/>
              </w:rPr>
            </w:pPr>
            <w:r>
              <w:rPr>
                <w:sz w:val="24"/>
                <w:szCs w:val="24"/>
              </w:rPr>
              <w:lastRenderedPageBreak/>
              <w:t>1.8</w:t>
            </w:r>
          </w:p>
        </w:tc>
        <w:tc>
          <w:tcPr>
            <w:tcW w:w="5670" w:type="dxa"/>
            <w:shd w:val="clear" w:color="auto" w:fill="auto"/>
          </w:tcPr>
          <w:p>
            <w:pPr>
              <w:spacing w:after="120" w:line="240" w:lineRule="auto"/>
              <w:rPr>
                <w:sz w:val="24"/>
                <w:szCs w:val="24"/>
              </w:rPr>
            </w:pPr>
            <w:r>
              <w:rPr>
                <w:sz w:val="24"/>
                <w:szCs w:val="24"/>
              </w:rPr>
              <w:t>Анализ сведений о доходах, расходах, об имуществе и обязательствах имущественного характера, представленных гражданскими служащими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328" w:type="dxa"/>
            <w:shd w:val="clear" w:color="auto" w:fill="auto"/>
          </w:tcPr>
          <w:p>
            <w:pPr>
              <w:spacing w:after="120" w:line="240" w:lineRule="auto"/>
              <w:jc w:val="center"/>
              <w:rPr>
                <w:sz w:val="24"/>
                <w:szCs w:val="24"/>
              </w:rPr>
            </w:pPr>
            <w:r>
              <w:rPr>
                <w:sz w:val="24"/>
                <w:szCs w:val="24"/>
              </w:rPr>
              <w:t>Административный отдел</w:t>
            </w:r>
          </w:p>
        </w:tc>
        <w:tc>
          <w:tcPr>
            <w:tcW w:w="1641" w:type="dxa"/>
            <w:shd w:val="clear" w:color="auto" w:fill="auto"/>
          </w:tcPr>
          <w:p>
            <w:pPr>
              <w:spacing w:line="240" w:lineRule="auto"/>
              <w:jc w:val="center"/>
              <w:rPr>
                <w:sz w:val="24"/>
                <w:szCs w:val="24"/>
              </w:rPr>
            </w:pPr>
            <w:r>
              <w:rPr>
                <w:sz w:val="24"/>
                <w:szCs w:val="24"/>
              </w:rPr>
              <w:t>Ежегодно</w:t>
            </w:r>
          </w:p>
          <w:p>
            <w:pPr>
              <w:spacing w:line="240" w:lineRule="auto"/>
              <w:jc w:val="center"/>
              <w:rPr>
                <w:sz w:val="24"/>
                <w:szCs w:val="24"/>
              </w:rPr>
            </w:pPr>
            <w:r>
              <w:rPr>
                <w:sz w:val="24"/>
                <w:szCs w:val="24"/>
              </w:rPr>
              <w:t>до 1 октября</w:t>
            </w:r>
          </w:p>
        </w:tc>
        <w:tc>
          <w:tcPr>
            <w:tcW w:w="4961" w:type="dxa"/>
            <w:shd w:val="clear" w:color="auto" w:fill="auto"/>
          </w:tcPr>
          <w:p>
            <w:pPr>
              <w:spacing w:line="240" w:lineRule="auto"/>
              <w:rPr>
                <w:sz w:val="24"/>
                <w:szCs w:val="24"/>
              </w:rPr>
            </w:pPr>
            <w:r>
              <w:rPr>
                <w:sz w:val="24"/>
                <w:szCs w:val="24"/>
              </w:rPr>
              <w:t xml:space="preserve">Сведения о доходах, расходах, об имуществе и обязательствах имущественного характера за 2018 год в 2019 году представлялись также и на электронном носителе, и были внесены в модуль «Анализ доходов и расходов» Автоматизированной системы управления кадровыми ресурсами информационно-вычислительной системы Росстата (АСУКР). </w:t>
            </w:r>
            <w:r>
              <w:rPr>
                <w:sz w:val="24"/>
                <w:szCs w:val="24"/>
              </w:rPr>
              <w:lastRenderedPageBreak/>
              <w:t>С целью выявления коррупционных правонарушений был проведен анализ сведений о доходах, расходах, об имуществе и обязательствах имущественного характера, представленных гражданскими служащими. за разные отчетные периоды.</w:t>
            </w:r>
            <w:r>
              <w:t xml:space="preserve"> </w:t>
            </w:r>
            <w:r>
              <w:rPr>
                <w:sz w:val="24"/>
                <w:szCs w:val="24"/>
              </w:rPr>
              <w:t>Выявленные замечания были устранены в течение мая. Признаков нарушения гражданскими служащими законодательства Российской Федерации о государственной гражданской службе и о противодействии коррупции не выявлено.</w:t>
            </w:r>
          </w:p>
          <w:p>
            <w:pPr>
              <w:spacing w:line="240" w:lineRule="auto"/>
              <w:rPr>
                <w:sz w:val="24"/>
                <w:szCs w:val="24"/>
              </w:rPr>
            </w:pPr>
            <w:r>
              <w:rPr>
                <w:sz w:val="24"/>
                <w:szCs w:val="24"/>
              </w:rPr>
              <w:t xml:space="preserve">Вопрос </w:t>
            </w:r>
            <w:r>
              <w:rPr>
                <w:rFonts w:ascii="Times New Roman" w:hAnsi="Times New Roman"/>
                <w:sz w:val="24"/>
                <w:szCs w:val="24"/>
              </w:rPr>
              <w:t>подведения итогов анализа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Калугастата за 2018 год, был рассмотрен на заседании комиссии по соблюдению требований к служебному поведению федеральных государственных служащих Калугастата и урегулированию конфликта интересов.</w:t>
            </w:r>
          </w:p>
        </w:tc>
      </w:tr>
      <w:tr>
        <w:tc>
          <w:tcPr>
            <w:tcW w:w="852" w:type="dxa"/>
            <w:shd w:val="clear" w:color="auto" w:fill="auto"/>
          </w:tcPr>
          <w:p>
            <w:pPr>
              <w:spacing w:after="120"/>
              <w:jc w:val="center"/>
              <w:rPr>
                <w:sz w:val="24"/>
                <w:szCs w:val="24"/>
              </w:rPr>
            </w:pPr>
            <w:r>
              <w:rPr>
                <w:sz w:val="24"/>
                <w:szCs w:val="24"/>
              </w:rPr>
              <w:lastRenderedPageBreak/>
              <w:t>1.9</w:t>
            </w:r>
          </w:p>
        </w:tc>
        <w:tc>
          <w:tcPr>
            <w:tcW w:w="5670" w:type="dxa"/>
            <w:shd w:val="clear" w:color="auto" w:fill="auto"/>
          </w:tcPr>
          <w:p>
            <w:pPr>
              <w:spacing w:after="120" w:line="240" w:lineRule="auto"/>
              <w:rPr>
                <w:sz w:val="24"/>
                <w:szCs w:val="24"/>
              </w:rPr>
            </w:pPr>
            <w:r>
              <w:rPr>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представляемых гражданскими служащими</w:t>
            </w:r>
          </w:p>
        </w:tc>
        <w:tc>
          <w:tcPr>
            <w:tcW w:w="2328" w:type="dxa"/>
            <w:shd w:val="clear" w:color="auto" w:fill="auto"/>
          </w:tcPr>
          <w:p>
            <w:pPr>
              <w:spacing w:after="120" w:line="240" w:lineRule="auto"/>
              <w:jc w:val="center"/>
              <w:rPr>
                <w:sz w:val="24"/>
                <w:szCs w:val="24"/>
              </w:rPr>
            </w:pPr>
            <w:r>
              <w:rPr>
                <w:sz w:val="24"/>
                <w:szCs w:val="24"/>
              </w:rPr>
              <w:t>Административный отдел</w:t>
            </w:r>
          </w:p>
        </w:tc>
        <w:tc>
          <w:tcPr>
            <w:tcW w:w="1641" w:type="dxa"/>
            <w:shd w:val="clear" w:color="auto" w:fill="auto"/>
          </w:tcPr>
          <w:p>
            <w:pPr>
              <w:spacing w:line="240" w:lineRule="auto"/>
              <w:jc w:val="center"/>
              <w:rPr>
                <w:sz w:val="24"/>
                <w:szCs w:val="24"/>
              </w:rPr>
            </w:pPr>
            <w:r>
              <w:rPr>
                <w:sz w:val="24"/>
                <w:szCs w:val="24"/>
              </w:rPr>
              <w:t>В течение</w:t>
            </w:r>
          </w:p>
          <w:p>
            <w:pPr>
              <w:spacing w:line="240" w:lineRule="auto"/>
              <w:jc w:val="center"/>
              <w:rPr>
                <w:sz w:val="24"/>
                <w:szCs w:val="24"/>
              </w:rPr>
            </w:pPr>
            <w:r>
              <w:rPr>
                <w:sz w:val="24"/>
                <w:szCs w:val="24"/>
              </w:rPr>
              <w:t>2018-2020 гг.</w:t>
            </w:r>
          </w:p>
          <w:p>
            <w:pPr>
              <w:spacing w:line="240" w:lineRule="auto"/>
              <w:jc w:val="center"/>
              <w:rPr>
                <w:sz w:val="24"/>
                <w:szCs w:val="24"/>
              </w:rPr>
            </w:pPr>
            <w:r>
              <w:rPr>
                <w:sz w:val="24"/>
                <w:szCs w:val="24"/>
              </w:rPr>
              <w:t>при наличии оснований</w:t>
            </w:r>
          </w:p>
        </w:tc>
        <w:tc>
          <w:tcPr>
            <w:tcW w:w="4961" w:type="dxa"/>
            <w:shd w:val="clear" w:color="auto" w:fill="auto"/>
          </w:tcPr>
          <w:p>
            <w:pPr>
              <w:spacing w:after="120" w:line="240" w:lineRule="auto"/>
              <w:rPr>
                <w:sz w:val="24"/>
                <w:szCs w:val="24"/>
              </w:rPr>
            </w:pPr>
            <w:r>
              <w:rPr>
                <w:sz w:val="24"/>
                <w:szCs w:val="24"/>
              </w:rPr>
              <w:t>Оснований</w:t>
            </w:r>
            <w:r>
              <w:t xml:space="preserve"> </w:t>
            </w:r>
            <w:r>
              <w:rPr>
                <w:sz w:val="24"/>
                <w:szCs w:val="24"/>
              </w:rPr>
              <w:t>для организации и проведения проверок достоверности и полноты сведений о доходах, расходах, об имуществе и обязательствах имущественного характера, представляемых гражданскими служащими, не было</w:t>
            </w:r>
          </w:p>
        </w:tc>
      </w:tr>
      <w:tr>
        <w:trPr>
          <w:trHeight w:val="2874"/>
        </w:trPr>
        <w:tc>
          <w:tcPr>
            <w:tcW w:w="852" w:type="dxa"/>
            <w:shd w:val="clear" w:color="auto" w:fill="auto"/>
          </w:tcPr>
          <w:p>
            <w:pPr>
              <w:spacing w:after="120"/>
              <w:jc w:val="center"/>
              <w:rPr>
                <w:sz w:val="24"/>
                <w:szCs w:val="24"/>
              </w:rPr>
            </w:pPr>
            <w:r>
              <w:rPr>
                <w:sz w:val="24"/>
                <w:szCs w:val="24"/>
              </w:rPr>
              <w:lastRenderedPageBreak/>
              <w:t>1.10</w:t>
            </w:r>
          </w:p>
        </w:tc>
        <w:tc>
          <w:tcPr>
            <w:tcW w:w="5670" w:type="dxa"/>
            <w:shd w:val="clear" w:color="auto" w:fill="auto"/>
          </w:tcPr>
          <w:p>
            <w:pPr>
              <w:spacing w:after="120" w:line="240" w:lineRule="auto"/>
              <w:rPr>
                <w:sz w:val="24"/>
                <w:szCs w:val="24"/>
              </w:rPr>
            </w:pPr>
            <w:r>
              <w:rPr>
                <w:rStyle w:val="FontStyle33"/>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8" w:type="dxa"/>
            <w:shd w:val="clear" w:color="auto" w:fill="auto"/>
          </w:tcPr>
          <w:p>
            <w:pPr>
              <w:spacing w:after="120" w:line="240" w:lineRule="auto"/>
              <w:jc w:val="center"/>
              <w:rPr>
                <w:sz w:val="24"/>
                <w:szCs w:val="24"/>
              </w:rPr>
            </w:pPr>
            <w:r>
              <w:rPr>
                <w:sz w:val="24"/>
                <w:szCs w:val="24"/>
              </w:rPr>
              <w:t>Административный отдел</w:t>
            </w:r>
          </w:p>
        </w:tc>
        <w:tc>
          <w:tcPr>
            <w:tcW w:w="1641" w:type="dxa"/>
            <w:shd w:val="clear" w:color="auto" w:fill="auto"/>
          </w:tcPr>
          <w:p>
            <w:pPr>
              <w:autoSpaceDE w:val="0"/>
              <w:autoSpaceDN w:val="0"/>
              <w:adjustRightInd w:val="0"/>
              <w:spacing w:line="274" w:lineRule="exact"/>
              <w:jc w:val="center"/>
              <w:rPr>
                <w:rFonts w:ascii="Times New Roman" w:eastAsiaTheme="minorEastAsia" w:hAnsi="Times New Roman"/>
                <w:sz w:val="24"/>
                <w:szCs w:val="24"/>
              </w:rPr>
            </w:pPr>
            <w:r>
              <w:rPr>
                <w:rFonts w:ascii="Times New Roman" w:eastAsiaTheme="minorEastAsia" w:hAnsi="Times New Roman"/>
                <w:sz w:val="24"/>
                <w:szCs w:val="24"/>
              </w:rPr>
              <w:t>В течение 2018-2020 гг. при наличии</w:t>
            </w:r>
          </w:p>
          <w:p>
            <w:pPr>
              <w:spacing w:after="120" w:line="240" w:lineRule="auto"/>
              <w:jc w:val="center"/>
              <w:rPr>
                <w:sz w:val="24"/>
                <w:szCs w:val="24"/>
              </w:rPr>
            </w:pPr>
            <w:r>
              <w:rPr>
                <w:rFonts w:ascii="Times New Roman" w:eastAsiaTheme="minorEastAsia" w:hAnsi="Times New Roman"/>
                <w:sz w:val="24"/>
                <w:szCs w:val="24"/>
              </w:rPr>
              <w:t>оснований</w:t>
            </w:r>
          </w:p>
        </w:tc>
        <w:tc>
          <w:tcPr>
            <w:tcW w:w="4961" w:type="dxa"/>
            <w:shd w:val="clear" w:color="auto" w:fill="auto"/>
          </w:tcPr>
          <w:p>
            <w:pPr>
              <w:spacing w:after="120" w:line="240" w:lineRule="auto"/>
              <w:rPr>
                <w:rStyle w:val="FontStyle33"/>
              </w:rPr>
            </w:pPr>
            <w:r>
              <w:rPr>
                <w:rStyle w:val="FontStyle33"/>
              </w:rPr>
              <w:t>Проводились проверки по наличию судимости и других правонарушений, по возможности занятия предпринимательской деятельностью и вхождения в состав коммерческих организаций. В 2019 году таких проверок было 10. Случаев несоблюдения государственными служащими запретов, ограничений не обнаружено.</w:t>
            </w:r>
          </w:p>
          <w:p>
            <w:pPr>
              <w:spacing w:after="120" w:line="240" w:lineRule="auto"/>
              <w:rPr>
                <w:sz w:val="24"/>
                <w:szCs w:val="24"/>
              </w:rPr>
            </w:pPr>
            <w:r>
              <w:rPr>
                <w:rStyle w:val="FontStyle33"/>
              </w:rPr>
              <w:t xml:space="preserve"> Проверки по другим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проводились в связи с отсутствием оснований.</w:t>
            </w:r>
          </w:p>
        </w:tc>
      </w:tr>
      <w:tr>
        <w:trPr>
          <w:trHeight w:val="1128"/>
        </w:trPr>
        <w:tc>
          <w:tcPr>
            <w:tcW w:w="852" w:type="dxa"/>
            <w:shd w:val="clear" w:color="auto" w:fill="auto"/>
          </w:tcPr>
          <w:p>
            <w:pPr>
              <w:spacing w:after="120"/>
              <w:jc w:val="center"/>
              <w:rPr>
                <w:sz w:val="24"/>
                <w:szCs w:val="24"/>
              </w:rPr>
            </w:pPr>
            <w:r>
              <w:rPr>
                <w:sz w:val="24"/>
                <w:szCs w:val="24"/>
              </w:rPr>
              <w:t>1.11</w:t>
            </w:r>
          </w:p>
        </w:tc>
        <w:tc>
          <w:tcPr>
            <w:tcW w:w="5670" w:type="dxa"/>
            <w:shd w:val="clear" w:color="auto" w:fill="auto"/>
          </w:tcPr>
          <w:p>
            <w:pPr>
              <w:spacing w:after="120" w:line="240" w:lineRule="auto"/>
              <w:rPr>
                <w:sz w:val="24"/>
                <w:szCs w:val="24"/>
              </w:rPr>
            </w:pPr>
            <w:r>
              <w:rPr>
                <w:rStyle w:val="FontStyle33"/>
              </w:rPr>
              <w:t>Осуществление контроля за расходами гражданских служащих в соответствии с действующим законодательством Российской Федерации</w:t>
            </w:r>
          </w:p>
        </w:tc>
        <w:tc>
          <w:tcPr>
            <w:tcW w:w="2328" w:type="dxa"/>
            <w:shd w:val="clear" w:color="auto" w:fill="auto"/>
          </w:tcPr>
          <w:p>
            <w:pPr>
              <w:spacing w:after="120" w:line="240" w:lineRule="auto"/>
              <w:jc w:val="center"/>
              <w:rPr>
                <w:sz w:val="24"/>
                <w:szCs w:val="24"/>
              </w:rPr>
            </w:pPr>
            <w:r>
              <w:rPr>
                <w:sz w:val="24"/>
                <w:szCs w:val="24"/>
              </w:rPr>
              <w:t>Административный отдел</w:t>
            </w:r>
          </w:p>
        </w:tc>
        <w:tc>
          <w:tcPr>
            <w:tcW w:w="1641" w:type="dxa"/>
            <w:shd w:val="clear" w:color="auto" w:fill="auto"/>
          </w:tcPr>
          <w:p>
            <w:pPr>
              <w:spacing w:after="120" w:line="240" w:lineRule="auto"/>
              <w:jc w:val="center"/>
              <w:rPr>
                <w:sz w:val="24"/>
                <w:szCs w:val="24"/>
              </w:rPr>
            </w:pPr>
            <w:r>
              <w:rPr>
                <w:rStyle w:val="FontStyle33"/>
              </w:rPr>
              <w:t>В течение 2018-2020 гг.</w:t>
            </w:r>
          </w:p>
        </w:tc>
        <w:tc>
          <w:tcPr>
            <w:tcW w:w="4961" w:type="dxa"/>
            <w:shd w:val="clear" w:color="auto" w:fill="auto"/>
          </w:tcPr>
          <w:p>
            <w:pPr>
              <w:spacing w:after="120" w:line="240" w:lineRule="auto"/>
              <w:rPr>
                <w:rStyle w:val="FontStyle33"/>
              </w:rPr>
            </w:pPr>
            <w:r>
              <w:rPr>
                <w:rStyle w:val="FontStyle33"/>
              </w:rPr>
              <w:t>Проведен анализ расходов федеральных государственных гражданских служащих их доходам, содержащихся в справках о доходах, расходах, об имуществе и обязательствах имущественного характера, представленных гражданскими служащими на себя и членов своей семьи за отчетный 2018 год. Были проанализированы все расходы в приобретении имущества, даже если они не были отмечены в разделе 2 «Сведения о расходах» справок, но были отмечены в других разделах. Осуществление контроля за расходами в соответствии с порядком не требуется.</w:t>
            </w:r>
          </w:p>
          <w:p>
            <w:pPr>
              <w:spacing w:after="120" w:line="240" w:lineRule="auto"/>
              <w:rPr>
                <w:sz w:val="24"/>
                <w:szCs w:val="24"/>
              </w:rPr>
            </w:pPr>
          </w:p>
        </w:tc>
      </w:tr>
      <w:tr>
        <w:trPr>
          <w:trHeight w:val="420"/>
        </w:trPr>
        <w:tc>
          <w:tcPr>
            <w:tcW w:w="852" w:type="dxa"/>
            <w:shd w:val="clear" w:color="auto" w:fill="auto"/>
          </w:tcPr>
          <w:p>
            <w:pPr>
              <w:spacing w:after="120"/>
              <w:jc w:val="center"/>
              <w:rPr>
                <w:sz w:val="24"/>
                <w:szCs w:val="24"/>
              </w:rPr>
            </w:pPr>
            <w:r>
              <w:rPr>
                <w:sz w:val="24"/>
                <w:szCs w:val="24"/>
              </w:rPr>
              <w:lastRenderedPageBreak/>
              <w:t>1.12</w:t>
            </w:r>
          </w:p>
        </w:tc>
        <w:tc>
          <w:tcPr>
            <w:tcW w:w="5670" w:type="dxa"/>
            <w:shd w:val="clear" w:color="auto" w:fill="auto"/>
          </w:tcPr>
          <w:p>
            <w:pPr>
              <w:spacing w:after="120" w:line="240" w:lineRule="auto"/>
              <w:rPr>
                <w:sz w:val="24"/>
                <w:szCs w:val="24"/>
              </w:rPr>
            </w:pPr>
            <w:r>
              <w:rPr>
                <w:sz w:val="24"/>
                <w:szCs w:val="24"/>
              </w:rPr>
              <w:t xml:space="preserve">Осуществление контроля исполнения   гражданскими служащими Калугастата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  </w:t>
            </w:r>
          </w:p>
        </w:tc>
        <w:tc>
          <w:tcPr>
            <w:tcW w:w="2328" w:type="dxa"/>
            <w:shd w:val="clear" w:color="auto" w:fill="auto"/>
          </w:tcPr>
          <w:p>
            <w:pPr>
              <w:spacing w:after="120" w:line="240" w:lineRule="auto"/>
              <w:jc w:val="center"/>
              <w:rPr>
                <w:sz w:val="24"/>
                <w:szCs w:val="24"/>
              </w:rPr>
            </w:pPr>
            <w:r>
              <w:rPr>
                <w:sz w:val="24"/>
                <w:szCs w:val="24"/>
              </w:rPr>
              <w:t>Административный отдел</w:t>
            </w:r>
          </w:p>
        </w:tc>
        <w:tc>
          <w:tcPr>
            <w:tcW w:w="1641" w:type="dxa"/>
            <w:shd w:val="clear" w:color="auto" w:fill="auto"/>
          </w:tcPr>
          <w:p>
            <w:pPr>
              <w:spacing w:after="120" w:line="240" w:lineRule="auto"/>
              <w:jc w:val="center"/>
              <w:rPr>
                <w:sz w:val="24"/>
                <w:szCs w:val="24"/>
              </w:rPr>
            </w:pPr>
            <w:r>
              <w:rPr>
                <w:sz w:val="24"/>
                <w:szCs w:val="24"/>
              </w:rPr>
              <w:t>В течение</w:t>
            </w:r>
          </w:p>
          <w:p>
            <w:pPr>
              <w:spacing w:after="120" w:line="240" w:lineRule="auto"/>
              <w:jc w:val="center"/>
              <w:rPr>
                <w:sz w:val="24"/>
                <w:szCs w:val="24"/>
              </w:rPr>
            </w:pPr>
            <w:r>
              <w:rPr>
                <w:sz w:val="24"/>
                <w:szCs w:val="24"/>
              </w:rPr>
              <w:t xml:space="preserve"> 2018-2020 гг. </w:t>
            </w:r>
          </w:p>
          <w:p>
            <w:pPr>
              <w:spacing w:after="120" w:line="240" w:lineRule="auto"/>
              <w:jc w:val="center"/>
              <w:rPr>
                <w:sz w:val="24"/>
                <w:szCs w:val="24"/>
              </w:rPr>
            </w:pPr>
          </w:p>
        </w:tc>
        <w:tc>
          <w:tcPr>
            <w:tcW w:w="4961" w:type="dxa"/>
            <w:shd w:val="clear" w:color="auto" w:fill="auto"/>
          </w:tcPr>
          <w:p>
            <w:pPr>
              <w:spacing w:after="120" w:line="240" w:lineRule="auto"/>
              <w:rPr>
                <w:rStyle w:val="FontStyle33"/>
              </w:rPr>
            </w:pPr>
            <w:r>
              <w:rPr>
                <w:rStyle w:val="FontStyle33"/>
              </w:rPr>
              <w:t>Осуществлялся контроль за соблюдением гражданскими служащими Калугастата требований части 2 статьи 14, пункта 17 части 1 статьи 17 Федерального закона от 27.07.2004 № 79-ФЗ «О государственной гражданской службе Российской Федерации». Нарушений не обнаружено. Возможность конфликта интересов при выполнении иной оплачиваемой работы не усмотрена.</w:t>
            </w:r>
          </w:p>
          <w:p>
            <w:pPr>
              <w:spacing w:after="120" w:line="240" w:lineRule="auto"/>
              <w:rPr>
                <w:rStyle w:val="FontStyle33"/>
              </w:rPr>
            </w:pPr>
            <w:r>
              <w:rPr>
                <w:rStyle w:val="FontStyle33"/>
              </w:rPr>
              <w:t>На основании</w:t>
            </w:r>
            <w:r>
              <w:rPr>
                <w:sz w:val="24"/>
                <w:szCs w:val="24"/>
              </w:rPr>
              <w:t xml:space="preserve"> Регламента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и регистрации этих уведомлений (утвержден приказом Росстата от 04.06.2018 № 336), писем Росстата, касающихся рассмотрения вопроса о выполнении иной оплачиваемой работы и процедуры уведомления гражданскими служащими о намерении выполнять иную оплачиваемую работу, была проведена разъяснительная работа по этим вопросам с гражданскими служащими Калугастата, а также этот вопрос рассматривался на коллегии 31.05.2019 в ходе отчета о проделанной работе по противодействию коррупции/</w:t>
            </w:r>
          </w:p>
          <w:p>
            <w:pPr>
              <w:spacing w:after="120" w:line="240" w:lineRule="auto"/>
              <w:rPr>
                <w:sz w:val="24"/>
                <w:szCs w:val="24"/>
              </w:rPr>
            </w:pPr>
            <w:r>
              <w:rPr>
                <w:sz w:val="24"/>
                <w:szCs w:val="24"/>
              </w:rPr>
              <w:lastRenderedPageBreak/>
              <w:t>За 2019 год уведомлений</w:t>
            </w:r>
            <w:r>
              <w:t xml:space="preserve"> </w:t>
            </w:r>
            <w:r>
              <w:rPr>
                <w:sz w:val="24"/>
                <w:szCs w:val="24"/>
              </w:rPr>
              <w:t>гражданских служащих Калугастата о намерении выполнять иную оплачиваемую работу не поступало.</w:t>
            </w:r>
          </w:p>
        </w:tc>
      </w:tr>
      <w:tr>
        <w:trPr>
          <w:trHeight w:val="1517"/>
        </w:trPr>
        <w:tc>
          <w:tcPr>
            <w:tcW w:w="852" w:type="dxa"/>
            <w:shd w:val="clear" w:color="auto" w:fill="auto"/>
          </w:tcPr>
          <w:p>
            <w:pPr>
              <w:spacing w:after="120"/>
              <w:jc w:val="center"/>
              <w:rPr>
                <w:sz w:val="24"/>
                <w:szCs w:val="24"/>
              </w:rPr>
            </w:pPr>
            <w:r>
              <w:rPr>
                <w:sz w:val="24"/>
                <w:szCs w:val="24"/>
              </w:rPr>
              <w:lastRenderedPageBreak/>
              <w:t>1.13</w:t>
            </w:r>
          </w:p>
        </w:tc>
        <w:tc>
          <w:tcPr>
            <w:tcW w:w="5670" w:type="dxa"/>
            <w:shd w:val="clear" w:color="auto" w:fill="auto"/>
          </w:tcPr>
          <w:p>
            <w:pPr>
              <w:spacing w:after="120" w:line="240" w:lineRule="auto"/>
              <w:rPr>
                <w:sz w:val="24"/>
                <w:szCs w:val="24"/>
              </w:rPr>
            </w:pPr>
            <w:r>
              <w:rPr>
                <w:sz w:val="24"/>
                <w:szCs w:val="24"/>
              </w:rPr>
              <w:t>Организация и обеспечение работы по рассмотрению уведомлений гражданских служащих о факте обращения к ним в целях склонения к совершению коррупционных правонарушений</w:t>
            </w:r>
          </w:p>
        </w:tc>
        <w:tc>
          <w:tcPr>
            <w:tcW w:w="2328" w:type="dxa"/>
            <w:shd w:val="clear" w:color="auto" w:fill="auto"/>
          </w:tcPr>
          <w:p>
            <w:pPr>
              <w:spacing w:after="120" w:line="240" w:lineRule="auto"/>
              <w:jc w:val="center"/>
              <w:rPr>
                <w:sz w:val="24"/>
                <w:szCs w:val="24"/>
              </w:rPr>
            </w:pPr>
            <w:r>
              <w:rPr>
                <w:sz w:val="24"/>
                <w:szCs w:val="24"/>
              </w:rPr>
              <w:t>Административный отдел</w:t>
            </w:r>
          </w:p>
        </w:tc>
        <w:tc>
          <w:tcPr>
            <w:tcW w:w="1641" w:type="dxa"/>
            <w:shd w:val="clear" w:color="auto" w:fill="auto"/>
          </w:tcPr>
          <w:p>
            <w:pPr>
              <w:spacing w:line="240" w:lineRule="auto"/>
              <w:jc w:val="center"/>
              <w:rPr>
                <w:sz w:val="24"/>
                <w:szCs w:val="24"/>
              </w:rPr>
            </w:pPr>
            <w:r>
              <w:rPr>
                <w:sz w:val="24"/>
                <w:szCs w:val="24"/>
              </w:rPr>
              <w:t xml:space="preserve">В течение </w:t>
            </w:r>
          </w:p>
          <w:p>
            <w:pPr>
              <w:spacing w:line="240" w:lineRule="auto"/>
              <w:jc w:val="center"/>
              <w:rPr>
                <w:sz w:val="24"/>
                <w:szCs w:val="24"/>
              </w:rPr>
            </w:pPr>
            <w:r>
              <w:rPr>
                <w:sz w:val="24"/>
                <w:szCs w:val="24"/>
              </w:rPr>
              <w:t>2018-2020 гг.</w:t>
            </w:r>
          </w:p>
        </w:tc>
        <w:tc>
          <w:tcPr>
            <w:tcW w:w="4961" w:type="dxa"/>
            <w:shd w:val="clear" w:color="auto" w:fill="auto"/>
          </w:tcPr>
          <w:p>
            <w:pPr>
              <w:spacing w:line="240" w:lineRule="auto"/>
              <w:rPr>
                <w:sz w:val="24"/>
                <w:szCs w:val="24"/>
              </w:rPr>
            </w:pPr>
            <w:r>
              <w:rPr>
                <w:sz w:val="24"/>
                <w:szCs w:val="24"/>
              </w:rPr>
              <w:t>За 2019 год случаев уведомлений гражданских служащих о факте обращения к ним в целях склонения к совершению коррупционных правонарушений не было.</w:t>
            </w:r>
          </w:p>
        </w:tc>
      </w:tr>
      <w:tr>
        <w:tc>
          <w:tcPr>
            <w:tcW w:w="852" w:type="dxa"/>
            <w:shd w:val="clear" w:color="auto" w:fill="auto"/>
          </w:tcPr>
          <w:p>
            <w:pPr>
              <w:spacing w:after="120"/>
              <w:jc w:val="center"/>
              <w:rPr>
                <w:sz w:val="24"/>
                <w:szCs w:val="24"/>
              </w:rPr>
            </w:pPr>
            <w:r>
              <w:rPr>
                <w:sz w:val="24"/>
                <w:szCs w:val="24"/>
              </w:rPr>
              <w:t>1.14</w:t>
            </w:r>
          </w:p>
        </w:tc>
        <w:tc>
          <w:tcPr>
            <w:tcW w:w="5670" w:type="dxa"/>
            <w:shd w:val="clear" w:color="auto" w:fill="auto"/>
          </w:tcPr>
          <w:p>
            <w:pPr>
              <w:spacing w:line="240" w:lineRule="atLeast"/>
              <w:rPr>
                <w:sz w:val="24"/>
                <w:szCs w:val="24"/>
              </w:rPr>
            </w:pPr>
            <w:r>
              <w:rPr>
                <w:sz w:val="24"/>
                <w:szCs w:val="24"/>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 xml:space="preserve">В течение </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За 2019 год случаев конфликта интересов, одной из сторон которого являются гражданские служащие, не было</w:t>
            </w:r>
          </w:p>
        </w:tc>
      </w:tr>
      <w:tr>
        <w:tc>
          <w:tcPr>
            <w:tcW w:w="852" w:type="dxa"/>
            <w:shd w:val="clear" w:color="auto" w:fill="auto"/>
          </w:tcPr>
          <w:p>
            <w:pPr>
              <w:spacing w:after="120"/>
              <w:jc w:val="center"/>
              <w:rPr>
                <w:sz w:val="24"/>
                <w:szCs w:val="24"/>
              </w:rPr>
            </w:pPr>
            <w:r>
              <w:rPr>
                <w:sz w:val="24"/>
                <w:szCs w:val="24"/>
              </w:rPr>
              <w:t>1.15</w:t>
            </w:r>
          </w:p>
        </w:tc>
        <w:tc>
          <w:tcPr>
            <w:tcW w:w="5670" w:type="dxa"/>
            <w:shd w:val="clear" w:color="auto" w:fill="auto"/>
          </w:tcPr>
          <w:p>
            <w:pPr>
              <w:spacing w:line="240" w:lineRule="atLeast"/>
              <w:rPr>
                <w:sz w:val="24"/>
                <w:szCs w:val="24"/>
              </w:rPr>
            </w:pPr>
            <w:r>
              <w:rPr>
                <w:rStyle w:val="FontStyle33"/>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rStyle w:val="FontStyle33"/>
              </w:rPr>
            </w:pPr>
            <w:r>
              <w:rPr>
                <w:rStyle w:val="FontStyle33"/>
              </w:rPr>
              <w:t>Проведены семинары</w:t>
            </w:r>
            <w:r>
              <w:t>,</w:t>
            </w:r>
            <w:r>
              <w:rPr>
                <w:rStyle w:val="FontStyle33"/>
              </w:rPr>
              <w:t xml:space="preserve"> посвященные</w:t>
            </w:r>
          </w:p>
          <w:p>
            <w:pPr>
              <w:spacing w:line="240" w:lineRule="atLeast"/>
              <w:rPr>
                <w:rStyle w:val="FontStyle33"/>
              </w:rPr>
            </w:pPr>
            <w:r>
              <w:rPr>
                <w:rStyle w:val="FontStyle33"/>
              </w:rPr>
              <w:t>- вопросу представления сведений о доходах расходах, об имуществе и обязательствах имущественного характера в ходе декларационной кампании 2019 года (за отчетный 2018 год);</w:t>
            </w:r>
          </w:p>
          <w:p>
            <w:pPr>
              <w:spacing w:line="240" w:lineRule="atLeast"/>
              <w:rPr>
                <w:rStyle w:val="FontStyle33"/>
              </w:rPr>
            </w:pPr>
            <w:r>
              <w:rPr>
                <w:rStyle w:val="FontStyle33"/>
              </w:rPr>
              <w:t xml:space="preserve">- вопросу уведомления федеральных государственных гражданских служащих представителя нанимателя о намерении выполнять иную оплачиваемую работу (о выполнении иной оплачиваемой работы) и регистрации этих уведомлений. Вся соответствующая информация была размещена на официальном сайте Калугастата </w:t>
            </w:r>
            <w:r>
              <w:rPr>
                <w:rStyle w:val="FontStyle33"/>
              </w:rPr>
              <w:lastRenderedPageBreak/>
              <w:t>в информационно-телекоммуникационной сети «Интернет»;</w:t>
            </w:r>
          </w:p>
          <w:p>
            <w:pPr>
              <w:spacing w:line="240" w:lineRule="atLeast"/>
              <w:rPr>
                <w:rStyle w:val="FontStyle33"/>
              </w:rPr>
            </w:pPr>
            <w:r>
              <w:rPr>
                <w:rStyle w:val="FontStyle33"/>
              </w:rPr>
              <w:t>- вопросу</w:t>
            </w:r>
            <w:r>
              <w:rPr>
                <w:sz w:val="24"/>
                <w:szCs w:val="24"/>
              </w:rPr>
              <w:t xml:space="preserve"> Обзора ошибок, выявленных по итогам анализа справок о доходах, расходах, имуществе и обязательствах имущественного характера, представленных гражданскими служащими Росстата, за 2018 год, подготовленного отделом по профилактике коррупционных и иных нарушений административного управления Росстата.</w:t>
            </w:r>
          </w:p>
          <w:p>
            <w:pPr>
              <w:spacing w:line="240" w:lineRule="atLeast"/>
              <w:rPr>
                <w:rFonts w:ascii="Times New Roman" w:hAnsi="Times New Roman"/>
                <w:sz w:val="24"/>
                <w:szCs w:val="24"/>
              </w:rPr>
            </w:pPr>
            <w:r>
              <w:rPr>
                <w:rFonts w:ascii="Times New Roman" w:hAnsi="Times New Roman"/>
                <w:sz w:val="24"/>
                <w:szCs w:val="24"/>
              </w:rPr>
              <w:t>Одним из направлений антикоррупционной работы является ознакомление гражданских служащих с новыми нормативными документами. Так, государственные гражданские служащие Калугастата ознакомлены под роспись:</w:t>
            </w:r>
          </w:p>
          <w:p>
            <w:pPr>
              <w:spacing w:line="240" w:lineRule="atLeast"/>
              <w:rPr>
                <w:rFonts w:ascii="Times New Roman" w:hAnsi="Times New Roman"/>
                <w:sz w:val="24"/>
                <w:szCs w:val="24"/>
              </w:rPr>
            </w:pPr>
            <w:r>
              <w:rPr>
                <w:rFonts w:ascii="Times New Roman" w:hAnsi="Times New Roman"/>
                <w:sz w:val="24"/>
                <w:szCs w:val="24"/>
              </w:rPr>
              <w:t xml:space="preserve">- с письмом Минтруда России от 06.12.2019 № 18-0/10/В -10440 о соблюдении запрета дарить и получать подарки. (в связи с новогодними праздниками), </w:t>
            </w:r>
          </w:p>
          <w:p>
            <w:pPr>
              <w:spacing w:line="240" w:lineRule="atLeast"/>
              <w:rPr>
                <w:rFonts w:ascii="Times New Roman" w:hAnsi="Times New Roman"/>
                <w:sz w:val="24"/>
                <w:szCs w:val="24"/>
              </w:rPr>
            </w:pPr>
            <w:r>
              <w:rPr>
                <w:rFonts w:ascii="Times New Roman" w:hAnsi="Times New Roman"/>
                <w:sz w:val="24"/>
                <w:szCs w:val="24"/>
              </w:rPr>
              <w:t>- с письмом Росстата от 21 февраля 2019 г. о заполнении подраздела 6.2 «Срочные обязательства финансового характера» справок о доходах, расходах, имуществе и обязательствах имущественного характера,</w:t>
            </w:r>
          </w:p>
          <w:p>
            <w:pPr>
              <w:spacing w:line="240" w:lineRule="atLeast"/>
              <w:rPr>
                <w:rFonts w:ascii="Times New Roman" w:hAnsi="Times New Roman"/>
                <w:sz w:val="24"/>
                <w:szCs w:val="24"/>
              </w:rPr>
            </w:pPr>
            <w:r>
              <w:rPr>
                <w:rFonts w:ascii="Times New Roman" w:hAnsi="Times New Roman"/>
                <w:sz w:val="24"/>
                <w:szCs w:val="24"/>
              </w:rPr>
              <w:t xml:space="preserve"> -с письмом Росстата от 5 марта 2019 года № 15-15-7/1162-ТО «Дополнительный комментарий к Методическим рекомендациям по вопросам представления сведений о доходах… расходах, имуществе и обязательствах имущественного характера и заполнения соответствующей формы справки </w:t>
            </w:r>
            <w:r>
              <w:rPr>
                <w:rFonts w:ascii="Times New Roman" w:hAnsi="Times New Roman"/>
                <w:sz w:val="24"/>
                <w:szCs w:val="24"/>
              </w:rPr>
              <w:lastRenderedPageBreak/>
              <w:t>для использования в ходе декларационной кампании 2019 года»;</w:t>
            </w:r>
          </w:p>
          <w:p>
            <w:pPr>
              <w:spacing w:line="240" w:lineRule="atLeast"/>
              <w:rPr>
                <w:rFonts w:ascii="Times New Roman" w:hAnsi="Times New Roman"/>
                <w:sz w:val="24"/>
                <w:szCs w:val="24"/>
              </w:rPr>
            </w:pPr>
            <w:r>
              <w:rPr>
                <w:rFonts w:ascii="Times New Roman" w:hAnsi="Times New Roman"/>
                <w:sz w:val="24"/>
                <w:szCs w:val="24"/>
              </w:rPr>
              <w:t>- с Федеральным законом от 01.05.2019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line="240" w:lineRule="atLeast"/>
              <w:rPr>
                <w:rFonts w:ascii="Times New Roman" w:hAnsi="Times New Roman"/>
                <w:sz w:val="24"/>
                <w:szCs w:val="24"/>
              </w:rPr>
            </w:pPr>
            <w:r>
              <w:rPr>
                <w:rFonts w:ascii="Times New Roman" w:hAnsi="Times New Roman"/>
                <w:sz w:val="24"/>
                <w:szCs w:val="24"/>
              </w:rPr>
              <w:t>- с приказом Росстата от 27.09.2019 № 565 «Об утверждении 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w:t>
            </w:r>
          </w:p>
          <w:p>
            <w:pPr>
              <w:spacing w:line="240" w:lineRule="atLeast"/>
              <w:rPr>
                <w:sz w:val="24"/>
                <w:szCs w:val="24"/>
              </w:rPr>
            </w:pPr>
          </w:p>
        </w:tc>
      </w:tr>
      <w:tr>
        <w:trPr>
          <w:trHeight w:val="1128"/>
        </w:trPr>
        <w:tc>
          <w:tcPr>
            <w:tcW w:w="852" w:type="dxa"/>
            <w:shd w:val="clear" w:color="auto" w:fill="auto"/>
          </w:tcPr>
          <w:p>
            <w:pPr>
              <w:spacing w:after="120"/>
              <w:jc w:val="center"/>
              <w:rPr>
                <w:sz w:val="24"/>
                <w:szCs w:val="24"/>
              </w:rPr>
            </w:pPr>
            <w:r>
              <w:rPr>
                <w:sz w:val="24"/>
                <w:szCs w:val="24"/>
              </w:rPr>
              <w:lastRenderedPageBreak/>
              <w:t>1.16</w:t>
            </w:r>
          </w:p>
        </w:tc>
        <w:tc>
          <w:tcPr>
            <w:tcW w:w="5670" w:type="dxa"/>
            <w:shd w:val="clear" w:color="auto" w:fill="auto"/>
          </w:tcPr>
          <w:p>
            <w:pPr>
              <w:spacing w:line="240" w:lineRule="atLeast"/>
              <w:rPr>
                <w:rStyle w:val="FontStyle33"/>
              </w:rPr>
            </w:pPr>
            <w:r>
              <w:rPr>
                <w:rStyle w:val="FontStyle33"/>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 xml:space="preserve"> 2018-2020 гг.</w:t>
            </w:r>
          </w:p>
        </w:tc>
        <w:tc>
          <w:tcPr>
            <w:tcW w:w="4961" w:type="dxa"/>
            <w:shd w:val="clear" w:color="auto" w:fill="auto"/>
          </w:tcPr>
          <w:p>
            <w:pPr>
              <w:spacing w:line="240" w:lineRule="atLeast"/>
              <w:rPr>
                <w:rStyle w:val="FontStyle33"/>
              </w:rPr>
            </w:pPr>
            <w:r>
              <w:rPr>
                <w:rStyle w:val="FontStyle33"/>
              </w:rPr>
              <w:t>В 2019 году обучение в рамках государственного заказа в системе государственной статистики не проводилось.</w:t>
            </w:r>
          </w:p>
          <w:p>
            <w:pPr>
              <w:spacing w:line="240" w:lineRule="atLeast"/>
              <w:rPr>
                <w:rFonts w:ascii="Times New Roman" w:hAnsi="Times New Roman"/>
                <w:bCs/>
                <w:sz w:val="24"/>
                <w:szCs w:val="24"/>
              </w:rPr>
            </w:pPr>
            <w:r>
              <w:rPr>
                <w:rStyle w:val="FontStyle33"/>
              </w:rPr>
              <w:t xml:space="preserve">24 апреля 2019 года гражданский служащий, ответственный за работу по профилактике коррупционных и иных правонарушений, </w:t>
            </w:r>
            <w:r>
              <w:rPr>
                <w:rFonts w:ascii="Times New Roman" w:hAnsi="Times New Roman"/>
                <w:bCs/>
                <w:sz w:val="24"/>
                <w:szCs w:val="24"/>
              </w:rPr>
              <w:t xml:space="preserve">принял участие в научно-практической конференции, организованной Следственным управлением по Калужской области, по теме «Превенция коррупционных правонарушений </w:t>
            </w:r>
            <w:r>
              <w:rPr>
                <w:rFonts w:ascii="Times New Roman" w:hAnsi="Times New Roman"/>
                <w:bCs/>
                <w:sz w:val="24"/>
                <w:szCs w:val="24"/>
              </w:rPr>
              <w:lastRenderedPageBreak/>
              <w:t>и преступлений в органах государственной власти и местного самоуправления».</w:t>
            </w:r>
          </w:p>
          <w:p>
            <w:pPr>
              <w:spacing w:line="240" w:lineRule="atLeast"/>
              <w:rPr>
                <w:rFonts w:ascii="Times New Roman" w:hAnsi="Times New Roman"/>
                <w:bCs/>
                <w:sz w:val="24"/>
                <w:szCs w:val="24"/>
              </w:rPr>
            </w:pPr>
            <w:r>
              <w:rPr>
                <w:rFonts w:ascii="Times New Roman" w:hAnsi="Times New Roman"/>
                <w:bCs/>
                <w:sz w:val="24"/>
                <w:szCs w:val="24"/>
              </w:rPr>
              <w:t>Обучение по тематике противодействия коррупции проводится в учебном классе Калугастата. В 2019 году в учебном классе проведено 2 занятия.</w:t>
            </w:r>
          </w:p>
          <w:p>
            <w:pPr>
              <w:spacing w:line="240" w:lineRule="atLeast"/>
              <w:rPr>
                <w:rStyle w:val="FontStyle33"/>
              </w:rPr>
            </w:pPr>
          </w:p>
        </w:tc>
      </w:tr>
      <w:tr>
        <w:trPr>
          <w:trHeight w:val="2882"/>
        </w:trPr>
        <w:tc>
          <w:tcPr>
            <w:tcW w:w="852" w:type="dxa"/>
            <w:shd w:val="clear" w:color="auto" w:fill="auto"/>
          </w:tcPr>
          <w:p>
            <w:pPr>
              <w:spacing w:after="120"/>
              <w:jc w:val="center"/>
              <w:rPr>
                <w:sz w:val="24"/>
                <w:szCs w:val="24"/>
              </w:rPr>
            </w:pPr>
            <w:r>
              <w:rPr>
                <w:sz w:val="24"/>
                <w:szCs w:val="24"/>
              </w:rPr>
              <w:lastRenderedPageBreak/>
              <w:t>1.17</w:t>
            </w:r>
          </w:p>
        </w:tc>
        <w:tc>
          <w:tcPr>
            <w:tcW w:w="5670" w:type="dxa"/>
            <w:shd w:val="clear" w:color="auto" w:fill="auto"/>
          </w:tcPr>
          <w:p>
            <w:pPr>
              <w:spacing w:line="240" w:lineRule="atLeast"/>
              <w:rPr>
                <w:rStyle w:val="FontStyle33"/>
              </w:rPr>
            </w:pPr>
            <w:r>
              <w:rPr>
                <w:rStyle w:val="FontStyle33"/>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 xml:space="preserve"> 2018-2020 гг.</w:t>
            </w:r>
          </w:p>
        </w:tc>
        <w:tc>
          <w:tcPr>
            <w:tcW w:w="4961" w:type="dxa"/>
            <w:shd w:val="clear" w:color="auto" w:fill="auto"/>
          </w:tcPr>
          <w:p>
            <w:pPr>
              <w:spacing w:line="240" w:lineRule="atLeast"/>
              <w:rPr>
                <w:rStyle w:val="FontStyle33"/>
              </w:rPr>
            </w:pPr>
            <w:r>
              <w:rPr>
                <w:rStyle w:val="FontStyle33"/>
              </w:rPr>
              <w:t>Повышение уровня квалификации гражданских служащих Калугастата,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в области противодействия коррупции проводится по предлагаемой тематике Росстата в рамках государственного заказа, а также по тематике обучения в учебном классе Калугастата.</w:t>
            </w:r>
          </w:p>
          <w:p>
            <w:pPr>
              <w:spacing w:line="240" w:lineRule="atLeast"/>
              <w:rPr>
                <w:rStyle w:val="FontStyle33"/>
              </w:rPr>
            </w:pPr>
          </w:p>
          <w:p>
            <w:pPr>
              <w:spacing w:line="240" w:lineRule="atLeast"/>
              <w:rPr>
                <w:rStyle w:val="FontStyle33"/>
              </w:rPr>
            </w:pPr>
          </w:p>
        </w:tc>
      </w:tr>
      <w:tr>
        <w:tc>
          <w:tcPr>
            <w:tcW w:w="852" w:type="dxa"/>
            <w:shd w:val="clear" w:color="auto" w:fill="auto"/>
          </w:tcPr>
          <w:p>
            <w:pPr>
              <w:spacing w:after="120" w:line="240" w:lineRule="auto"/>
              <w:jc w:val="center"/>
              <w:rPr>
                <w:sz w:val="24"/>
                <w:szCs w:val="24"/>
              </w:rPr>
            </w:pPr>
            <w:r>
              <w:rPr>
                <w:sz w:val="24"/>
                <w:szCs w:val="24"/>
              </w:rPr>
              <w:t>1.18</w:t>
            </w:r>
          </w:p>
        </w:tc>
        <w:tc>
          <w:tcPr>
            <w:tcW w:w="5670" w:type="dxa"/>
            <w:shd w:val="clear" w:color="auto" w:fill="auto"/>
          </w:tcPr>
          <w:p>
            <w:pPr>
              <w:spacing w:after="120" w:line="240" w:lineRule="auto"/>
              <w:rPr>
                <w:sz w:val="24"/>
                <w:szCs w:val="24"/>
              </w:rPr>
            </w:pPr>
            <w:r>
              <w:rPr>
                <w:rStyle w:val="FontStyle33"/>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 xml:space="preserve"> 2018-2020 гг.</w:t>
            </w:r>
          </w:p>
        </w:tc>
        <w:tc>
          <w:tcPr>
            <w:tcW w:w="4961" w:type="dxa"/>
            <w:shd w:val="clear" w:color="auto" w:fill="auto"/>
          </w:tcPr>
          <w:p>
            <w:pPr>
              <w:spacing w:after="120" w:line="240" w:lineRule="auto"/>
              <w:rPr>
                <w:rStyle w:val="FontStyle33"/>
              </w:rPr>
            </w:pPr>
            <w:r>
              <w:rPr>
                <w:rStyle w:val="FontStyle33"/>
              </w:rPr>
              <w:t>Все граждане, поступающие на должности гражданской службы, знакомятся со списком антикоррупционного законодательства Российской Федерации, с Кодексом этики и служебного поведения гражданских служащих Росстата. Эта работа проводится также в рамках наставничества. В 2019 году принято на государственную гражданскую службу 12 человек.</w:t>
            </w:r>
          </w:p>
          <w:p>
            <w:pPr>
              <w:spacing w:after="120" w:line="240" w:lineRule="auto"/>
              <w:rPr>
                <w:sz w:val="24"/>
                <w:szCs w:val="24"/>
              </w:rPr>
            </w:pPr>
          </w:p>
        </w:tc>
      </w:tr>
      <w:tr>
        <w:tc>
          <w:tcPr>
            <w:tcW w:w="852" w:type="dxa"/>
            <w:shd w:val="clear" w:color="auto" w:fill="auto"/>
          </w:tcPr>
          <w:p>
            <w:pPr>
              <w:spacing w:after="120" w:line="240" w:lineRule="auto"/>
              <w:jc w:val="center"/>
              <w:rPr>
                <w:sz w:val="24"/>
                <w:szCs w:val="24"/>
              </w:rPr>
            </w:pPr>
            <w:r>
              <w:rPr>
                <w:sz w:val="24"/>
                <w:szCs w:val="24"/>
              </w:rPr>
              <w:lastRenderedPageBreak/>
              <w:t>1.19</w:t>
            </w:r>
          </w:p>
        </w:tc>
        <w:tc>
          <w:tcPr>
            <w:tcW w:w="5670" w:type="dxa"/>
            <w:shd w:val="clear" w:color="auto" w:fill="auto"/>
          </w:tcPr>
          <w:p>
            <w:pPr>
              <w:spacing w:line="274" w:lineRule="exact"/>
              <w:ind w:left="36" w:hanging="36"/>
              <w:rPr>
                <w:rStyle w:val="FontStyle33"/>
              </w:rPr>
            </w:pPr>
            <w:r>
              <w:rPr>
                <w:rStyle w:val="FontStyle33"/>
              </w:rPr>
              <w:t xml:space="preserve">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w:t>
            </w:r>
            <w:r>
              <w:rPr>
                <w:rFonts w:ascii="Times New Roman" w:eastAsiaTheme="minorEastAsia" w:hAnsi="Times New Roman"/>
                <w:sz w:val="24"/>
                <w:szCs w:val="24"/>
              </w:rPr>
              <w:t>к дарению подарков указанным служащим в связи с их должностным положением или в связи с исполнением ими служебных обязанностей.</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 xml:space="preserve"> 2018-2020 гг.</w:t>
            </w:r>
          </w:p>
        </w:tc>
        <w:tc>
          <w:tcPr>
            <w:tcW w:w="4961" w:type="dxa"/>
            <w:shd w:val="clear" w:color="auto" w:fill="auto"/>
          </w:tcPr>
          <w:p>
            <w:pPr>
              <w:spacing w:after="120" w:line="240" w:lineRule="auto"/>
              <w:rPr>
                <w:rStyle w:val="FontStyle33"/>
              </w:rPr>
            </w:pPr>
            <w:r>
              <w:rPr>
                <w:rStyle w:val="FontStyle33"/>
              </w:rPr>
              <w:t xml:space="preserve">Все гражданские служащие ознакомились с приказом Федеральной службы государственной статистики от 13.03.2017      № 168 "Об утверждении Положения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pPr>
              <w:spacing w:after="120" w:line="240" w:lineRule="auto"/>
              <w:rPr>
                <w:rStyle w:val="FontStyle33"/>
              </w:rPr>
            </w:pPr>
            <w:r>
              <w:rPr>
                <w:rStyle w:val="FontStyle33"/>
              </w:rPr>
              <w:t>Все гражданские служащие ознакомились с письмом Министерства труда и социальной защиты Российской Федерации от 6 декабря 2019 г. № 18-0/10/В-10440, касающимся дарения и получения подарков, перед новогодними праздниками.</w:t>
            </w:r>
          </w:p>
          <w:p>
            <w:pPr>
              <w:spacing w:after="120" w:line="240" w:lineRule="auto"/>
              <w:rPr>
                <w:rStyle w:val="FontStyle33"/>
              </w:rPr>
            </w:pPr>
            <w:r>
              <w:rPr>
                <w:rStyle w:val="FontStyle33"/>
              </w:rPr>
              <w:t>За отчетный период 2019 года случаев получения подарка в связи с должностным положением или исполнением служебных (должностных) обязанностей, не было</w:t>
            </w:r>
          </w:p>
        </w:tc>
      </w:tr>
      <w:tr>
        <w:tc>
          <w:tcPr>
            <w:tcW w:w="852" w:type="dxa"/>
            <w:shd w:val="clear" w:color="auto" w:fill="auto"/>
          </w:tcPr>
          <w:p>
            <w:pPr>
              <w:spacing w:after="120" w:line="240" w:lineRule="auto"/>
              <w:jc w:val="center"/>
              <w:rPr>
                <w:sz w:val="24"/>
                <w:szCs w:val="24"/>
              </w:rPr>
            </w:pPr>
            <w:r>
              <w:rPr>
                <w:sz w:val="24"/>
                <w:szCs w:val="24"/>
              </w:rPr>
              <w:lastRenderedPageBreak/>
              <w:t>1.20</w:t>
            </w:r>
          </w:p>
        </w:tc>
        <w:tc>
          <w:tcPr>
            <w:tcW w:w="5670" w:type="dxa"/>
            <w:shd w:val="clear" w:color="auto" w:fill="auto"/>
          </w:tcPr>
          <w:p>
            <w:pPr>
              <w:spacing w:line="274" w:lineRule="exact"/>
              <w:ind w:left="36" w:hanging="36"/>
              <w:rPr>
                <w:rStyle w:val="FontStyle33"/>
              </w:rPr>
            </w:pPr>
            <w:r>
              <w:rPr>
                <w:rStyle w:val="FontStyle33"/>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w:t>
            </w:r>
            <w:r>
              <w:t xml:space="preserve"> </w:t>
            </w:r>
            <w:r>
              <w:rPr>
                <w:rStyle w:val="FontStyle33"/>
              </w:rPr>
              <w:t>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pPr>
              <w:spacing w:line="274" w:lineRule="exact"/>
              <w:ind w:left="36" w:hanging="36"/>
              <w:rPr>
                <w:rStyle w:val="FontStyle33"/>
              </w:rPr>
            </w:pPr>
            <w:r>
              <w:rPr>
                <w:rStyle w:val="FontStyle33"/>
              </w:rPr>
              <w:t xml:space="preserve"> Контроль соблюдения бывшими гражданскими служащими Калугастата требований ст. 12 Федерального закона от 25.12.2008 № 273-ФЗ «О противодействии коррупции»</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 2018-2020 гг.</w:t>
            </w:r>
          </w:p>
          <w:p>
            <w:pPr>
              <w:spacing w:line="240" w:lineRule="atLeast"/>
              <w:jc w:val="center"/>
              <w:rPr>
                <w:sz w:val="24"/>
                <w:szCs w:val="24"/>
              </w:rPr>
            </w:pPr>
            <w:r>
              <w:rPr>
                <w:sz w:val="24"/>
                <w:szCs w:val="24"/>
              </w:rPr>
              <w:t>(по мере поступления информации)</w:t>
            </w:r>
          </w:p>
        </w:tc>
        <w:tc>
          <w:tcPr>
            <w:tcW w:w="4961" w:type="dxa"/>
            <w:shd w:val="clear" w:color="auto" w:fill="auto"/>
          </w:tcPr>
          <w:p>
            <w:pPr>
              <w:spacing w:after="120" w:line="240" w:lineRule="auto"/>
              <w:rPr>
                <w:rStyle w:val="FontStyle33"/>
              </w:rPr>
            </w:pPr>
            <w:r>
              <w:rPr>
                <w:rStyle w:val="FontStyle33"/>
              </w:rPr>
              <w:t>За 2019 год обращений от бывших государственных гражданских служащих не поступало.</w:t>
            </w:r>
          </w:p>
        </w:tc>
      </w:tr>
      <w:tr>
        <w:tc>
          <w:tcPr>
            <w:tcW w:w="852" w:type="dxa"/>
            <w:shd w:val="clear" w:color="auto" w:fill="auto"/>
          </w:tcPr>
          <w:p>
            <w:pPr>
              <w:spacing w:after="120" w:line="240" w:lineRule="auto"/>
              <w:jc w:val="center"/>
              <w:rPr>
                <w:sz w:val="24"/>
                <w:szCs w:val="24"/>
              </w:rPr>
            </w:pPr>
            <w:r>
              <w:rPr>
                <w:sz w:val="24"/>
                <w:szCs w:val="24"/>
              </w:rPr>
              <w:t>1.21</w:t>
            </w:r>
          </w:p>
        </w:tc>
        <w:tc>
          <w:tcPr>
            <w:tcW w:w="5670" w:type="dxa"/>
            <w:shd w:val="clear" w:color="auto" w:fill="auto"/>
          </w:tcPr>
          <w:p>
            <w:pPr>
              <w:spacing w:line="274" w:lineRule="exact"/>
              <w:ind w:left="36" w:hanging="36"/>
              <w:rPr>
                <w:rStyle w:val="FontStyle33"/>
              </w:rPr>
            </w:pPr>
            <w:r>
              <w:rPr>
                <w:rStyle w:val="FontStyle33"/>
              </w:rPr>
              <w:t xml:space="preserve">Рассмотрение поступающих в Калугастат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w:t>
            </w:r>
            <w:r>
              <w:rPr>
                <w:rStyle w:val="FontStyle32"/>
              </w:rPr>
              <w:t xml:space="preserve">в </w:t>
            </w:r>
            <w:r>
              <w:rPr>
                <w:rStyle w:val="FontStyle33"/>
              </w:rPr>
              <w:t>Калугастате</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autoSpaceDE w:val="0"/>
              <w:autoSpaceDN w:val="0"/>
              <w:adjustRightInd w:val="0"/>
              <w:spacing w:line="274" w:lineRule="exact"/>
              <w:ind w:firstLine="173"/>
              <w:jc w:val="left"/>
              <w:rPr>
                <w:rFonts w:ascii="Times New Roman" w:eastAsiaTheme="minorEastAsia" w:hAnsi="Times New Roman"/>
                <w:sz w:val="24"/>
                <w:szCs w:val="24"/>
              </w:rPr>
            </w:pPr>
            <w:r>
              <w:rPr>
                <w:rFonts w:ascii="Times New Roman" w:eastAsiaTheme="minorEastAsia" w:hAnsi="Times New Roman"/>
                <w:sz w:val="24"/>
                <w:szCs w:val="24"/>
              </w:rPr>
              <w:t>В течение 2018-2020 гг.</w:t>
            </w:r>
          </w:p>
          <w:p>
            <w:pPr>
              <w:spacing w:line="240" w:lineRule="atLeast"/>
              <w:jc w:val="center"/>
              <w:rPr>
                <w:sz w:val="24"/>
                <w:szCs w:val="24"/>
              </w:rPr>
            </w:pPr>
            <w:r>
              <w:rPr>
                <w:rFonts w:ascii="Times New Roman" w:eastAsiaTheme="minorEastAsia" w:hAnsi="Times New Roman"/>
                <w:sz w:val="24"/>
                <w:szCs w:val="24"/>
              </w:rPr>
              <w:t>(по мере поступления информации)</w:t>
            </w:r>
          </w:p>
        </w:tc>
        <w:tc>
          <w:tcPr>
            <w:tcW w:w="4961" w:type="dxa"/>
            <w:shd w:val="clear" w:color="auto" w:fill="auto"/>
          </w:tcPr>
          <w:p>
            <w:pPr>
              <w:spacing w:after="120" w:line="240" w:lineRule="auto"/>
              <w:rPr>
                <w:rStyle w:val="FontStyle33"/>
              </w:rPr>
            </w:pPr>
            <w:r>
              <w:rPr>
                <w:rStyle w:val="FontStyle33"/>
              </w:rPr>
              <w:t xml:space="preserve">За 2019 год Комиссией было рассмотрено </w:t>
            </w:r>
            <w:r>
              <w:rPr>
                <w:rStyle w:val="FontStyle33"/>
                <w:b/>
              </w:rPr>
              <w:t>4</w:t>
            </w:r>
            <w:r>
              <w:rPr>
                <w:rStyle w:val="FontStyle33"/>
              </w:rPr>
              <w:t xml:space="preserve"> сообщения работодателей о заключении трудового договора с гражданином, замещавшим ранее должность государственной гражданской службы в Калугастате.</w:t>
            </w:r>
          </w:p>
        </w:tc>
      </w:tr>
      <w:tr>
        <w:tc>
          <w:tcPr>
            <w:tcW w:w="15452" w:type="dxa"/>
            <w:gridSpan w:val="5"/>
            <w:shd w:val="clear" w:color="auto" w:fill="auto"/>
          </w:tcPr>
          <w:p>
            <w:pPr>
              <w:spacing w:line="240" w:lineRule="auto"/>
              <w:ind w:left="360"/>
              <w:jc w:val="center"/>
              <w:rPr>
                <w:b/>
                <w:sz w:val="24"/>
                <w:szCs w:val="24"/>
              </w:rPr>
            </w:pPr>
            <w:r>
              <w:rPr>
                <w:b/>
                <w:sz w:val="24"/>
                <w:szCs w:val="24"/>
              </w:rPr>
              <w:t>2. Выявление и систематизация причин и условий проявления коррупции в деятельности Калугастата, мониторинг</w:t>
            </w:r>
          </w:p>
          <w:p>
            <w:pPr>
              <w:spacing w:line="240" w:lineRule="auto"/>
              <w:ind w:left="-142"/>
              <w:jc w:val="center"/>
              <w:rPr>
                <w:b/>
                <w:sz w:val="24"/>
                <w:szCs w:val="24"/>
              </w:rPr>
            </w:pPr>
            <w:r>
              <w:rPr>
                <w:b/>
                <w:sz w:val="24"/>
                <w:szCs w:val="24"/>
              </w:rPr>
              <w:t xml:space="preserve"> коррупционных рисков и осуществление мер по их минимизации</w:t>
            </w:r>
          </w:p>
        </w:tc>
      </w:tr>
      <w:tr>
        <w:tc>
          <w:tcPr>
            <w:tcW w:w="852" w:type="dxa"/>
            <w:shd w:val="clear" w:color="auto" w:fill="auto"/>
          </w:tcPr>
          <w:p>
            <w:pPr>
              <w:spacing w:after="120"/>
              <w:jc w:val="center"/>
              <w:rPr>
                <w:sz w:val="24"/>
                <w:szCs w:val="24"/>
              </w:rPr>
            </w:pPr>
            <w:r>
              <w:rPr>
                <w:sz w:val="24"/>
                <w:szCs w:val="24"/>
              </w:rPr>
              <w:t>2.1</w:t>
            </w:r>
          </w:p>
        </w:tc>
        <w:tc>
          <w:tcPr>
            <w:tcW w:w="5670" w:type="dxa"/>
            <w:shd w:val="clear" w:color="auto" w:fill="auto"/>
          </w:tcPr>
          <w:p>
            <w:pPr>
              <w:spacing w:line="240" w:lineRule="atLeast"/>
              <w:rPr>
                <w:sz w:val="24"/>
                <w:szCs w:val="24"/>
              </w:rPr>
            </w:pPr>
            <w:r>
              <w:rPr>
                <w:sz w:val="24"/>
                <w:szCs w:val="24"/>
              </w:rPr>
              <w:t>Систематическое проведение оценок коррупционных рисков, возникающих при реализации Калугастатом своих функций</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 xml:space="preserve">В течение </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 xml:space="preserve">Оценка коррупционных рисков, возникающих при реализации функций с наиболее вероятным проявлением коррупции, мониторинг должностных регламентов федеральных государственных гражданских служащих Калугастата, замещение которых связано с коррупционными рисками, проводятся постоянно.  Перечень коррупционно-опасных функций размещен на официальном сайте Калугастата в сети </w:t>
            </w:r>
            <w:r>
              <w:rPr>
                <w:sz w:val="24"/>
                <w:szCs w:val="24"/>
              </w:rPr>
              <w:lastRenderedPageBreak/>
              <w:t>«Интернет» в разделе «противодействие коррупции». На основании перечня коррупционно-опасных функций в январе 2019 года был сформирован новый Реестр должностей, замещение которых связано с коррупционными рисками (далее – Реестр должностей). В течение 2019 года вносились изменения в Реестр должностей в связи с изменениями штатного расписания Калугастата.</w:t>
            </w:r>
          </w:p>
        </w:tc>
      </w:tr>
      <w:tr>
        <w:tc>
          <w:tcPr>
            <w:tcW w:w="852" w:type="dxa"/>
            <w:shd w:val="clear" w:color="auto" w:fill="auto"/>
          </w:tcPr>
          <w:p>
            <w:pPr>
              <w:spacing w:after="120"/>
              <w:jc w:val="center"/>
              <w:rPr>
                <w:sz w:val="24"/>
                <w:szCs w:val="24"/>
              </w:rPr>
            </w:pPr>
            <w:r>
              <w:rPr>
                <w:sz w:val="24"/>
                <w:szCs w:val="24"/>
              </w:rPr>
              <w:lastRenderedPageBreak/>
              <w:t>2.2</w:t>
            </w:r>
          </w:p>
        </w:tc>
        <w:tc>
          <w:tcPr>
            <w:tcW w:w="5670" w:type="dxa"/>
            <w:shd w:val="clear" w:color="auto" w:fill="auto"/>
          </w:tcPr>
          <w:p>
            <w:pPr>
              <w:spacing w:line="240" w:lineRule="atLeast"/>
              <w:rPr>
                <w:sz w:val="24"/>
                <w:szCs w:val="24"/>
              </w:rPr>
            </w:pPr>
            <w:r>
              <w:rPr>
                <w:sz w:val="24"/>
                <w:szCs w:val="24"/>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Калугастате</w:t>
            </w:r>
          </w:p>
        </w:tc>
        <w:tc>
          <w:tcPr>
            <w:tcW w:w="2328" w:type="dxa"/>
            <w:shd w:val="clear" w:color="auto" w:fill="auto"/>
          </w:tcPr>
          <w:p>
            <w:pPr>
              <w:spacing w:line="240" w:lineRule="atLeast"/>
              <w:jc w:val="center"/>
              <w:rPr>
                <w:sz w:val="24"/>
                <w:szCs w:val="24"/>
              </w:rPr>
            </w:pPr>
            <w:r>
              <w:rPr>
                <w:sz w:val="24"/>
                <w:szCs w:val="24"/>
              </w:rPr>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p>
            <w:pPr>
              <w:spacing w:line="240" w:lineRule="atLeast"/>
              <w:jc w:val="center"/>
              <w:rPr>
                <w:sz w:val="24"/>
                <w:szCs w:val="24"/>
              </w:rPr>
            </w:pPr>
            <w:r>
              <w:rPr>
                <w:sz w:val="24"/>
                <w:szCs w:val="24"/>
              </w:rPr>
              <w:t>(по мере необходимости)</w:t>
            </w:r>
          </w:p>
        </w:tc>
        <w:tc>
          <w:tcPr>
            <w:tcW w:w="4961" w:type="dxa"/>
            <w:shd w:val="clear" w:color="auto" w:fill="auto"/>
          </w:tcPr>
          <w:p>
            <w:pPr>
              <w:spacing w:line="240" w:lineRule="atLeast"/>
              <w:rPr>
                <w:sz w:val="24"/>
                <w:szCs w:val="24"/>
              </w:rPr>
            </w:pPr>
            <w:r>
              <w:rPr>
                <w:sz w:val="24"/>
                <w:szCs w:val="24"/>
              </w:rPr>
              <w:t xml:space="preserve">За 2019 год коррупционных правонарушений и применение мер юридической ответственности за коррупционные и иные правонарушения не было. </w:t>
            </w:r>
          </w:p>
        </w:tc>
      </w:tr>
      <w:tr>
        <w:trPr>
          <w:trHeight w:val="1128"/>
        </w:trPr>
        <w:tc>
          <w:tcPr>
            <w:tcW w:w="852" w:type="dxa"/>
            <w:shd w:val="clear" w:color="auto" w:fill="auto"/>
          </w:tcPr>
          <w:p>
            <w:pPr>
              <w:spacing w:after="120"/>
              <w:jc w:val="center"/>
              <w:rPr>
                <w:sz w:val="24"/>
                <w:szCs w:val="24"/>
              </w:rPr>
            </w:pPr>
            <w:r>
              <w:rPr>
                <w:sz w:val="24"/>
                <w:szCs w:val="24"/>
              </w:rPr>
              <w:t>2.3</w:t>
            </w:r>
          </w:p>
        </w:tc>
        <w:tc>
          <w:tcPr>
            <w:tcW w:w="5670" w:type="dxa"/>
            <w:shd w:val="clear" w:color="auto" w:fill="auto"/>
          </w:tcPr>
          <w:p>
            <w:pPr>
              <w:spacing w:line="240" w:lineRule="atLeast"/>
              <w:rPr>
                <w:sz w:val="24"/>
                <w:szCs w:val="24"/>
              </w:rPr>
            </w:pPr>
            <w:r>
              <w:rPr>
                <w:sz w:val="24"/>
                <w:szCs w:val="24"/>
              </w:rPr>
              <w:t>Обеспечение действенного функционирования межведомственного электронного взаимодействия в Калугастате и электронного взаимодействия Калугастата с гражданами и организациями</w:t>
            </w:r>
          </w:p>
        </w:tc>
        <w:tc>
          <w:tcPr>
            <w:tcW w:w="2328" w:type="dxa"/>
            <w:shd w:val="clear" w:color="auto" w:fill="auto"/>
          </w:tcPr>
          <w:p>
            <w:pPr>
              <w:spacing w:line="240" w:lineRule="atLeast"/>
              <w:jc w:val="center"/>
              <w:rPr>
                <w:sz w:val="24"/>
                <w:szCs w:val="24"/>
              </w:rPr>
            </w:pPr>
            <w:r>
              <w:rPr>
                <w:sz w:val="24"/>
                <w:szCs w:val="24"/>
              </w:rPr>
              <w:t>Административный отдел, отдел информационных технологий, отдел сводных статистических работ</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b/>
                <w:bCs/>
                <w:sz w:val="24"/>
                <w:szCs w:val="24"/>
              </w:rPr>
            </w:pPr>
            <w:r>
              <w:rPr>
                <w:bCs/>
                <w:sz w:val="24"/>
                <w:szCs w:val="24"/>
              </w:rPr>
              <w:t xml:space="preserve">Одним из направлений противодействия коррупции является обеспечение действенного функционирования межведомственного электронного взаимодействия в Калугастате и электронного взаимодействия Калугастата с гражданами и организациями; единой системы документооборота. Предоставление официальной статистической информации структурным подразделениям Правительства Калужской области осуществляется в </w:t>
            </w:r>
            <w:r>
              <w:rPr>
                <w:b/>
                <w:bCs/>
                <w:i/>
                <w:sz w:val="24"/>
                <w:szCs w:val="24"/>
              </w:rPr>
              <w:t>электронном виде</w:t>
            </w:r>
            <w:r>
              <w:rPr>
                <w:bCs/>
                <w:sz w:val="24"/>
                <w:szCs w:val="24"/>
              </w:rPr>
              <w:t xml:space="preserve">. Проводились работы по внедрению технологии электронного сбора статистической отчетности от организаций. Доля отчетности, представляемой в электронном виде по крупным, средним и </w:t>
            </w:r>
            <w:r>
              <w:rPr>
                <w:bCs/>
                <w:sz w:val="24"/>
                <w:szCs w:val="24"/>
              </w:rPr>
              <w:lastRenderedPageBreak/>
              <w:t>некоммерческим организациям, постоянно растет и составляет сегодня около 90 %</w:t>
            </w:r>
          </w:p>
          <w:p>
            <w:pPr>
              <w:spacing w:line="240" w:lineRule="atLeast"/>
              <w:rPr>
                <w:sz w:val="24"/>
                <w:szCs w:val="24"/>
              </w:rPr>
            </w:pPr>
          </w:p>
        </w:tc>
      </w:tr>
      <w:tr>
        <w:tc>
          <w:tcPr>
            <w:tcW w:w="852" w:type="dxa"/>
            <w:shd w:val="clear" w:color="auto" w:fill="auto"/>
          </w:tcPr>
          <w:p>
            <w:pPr>
              <w:spacing w:after="120"/>
              <w:jc w:val="center"/>
              <w:rPr>
                <w:sz w:val="24"/>
                <w:szCs w:val="24"/>
              </w:rPr>
            </w:pPr>
            <w:r>
              <w:rPr>
                <w:sz w:val="24"/>
                <w:szCs w:val="24"/>
              </w:rPr>
              <w:lastRenderedPageBreak/>
              <w:t>2.4</w:t>
            </w:r>
          </w:p>
        </w:tc>
        <w:tc>
          <w:tcPr>
            <w:tcW w:w="5670" w:type="dxa"/>
            <w:shd w:val="clear" w:color="auto" w:fill="auto"/>
          </w:tcPr>
          <w:p>
            <w:pPr>
              <w:spacing w:line="240" w:lineRule="atLeast"/>
              <w:rPr>
                <w:sz w:val="24"/>
                <w:szCs w:val="24"/>
              </w:rPr>
            </w:pPr>
            <w:r>
              <w:rPr>
                <w:sz w:val="24"/>
                <w:szCs w:val="24"/>
              </w:rPr>
              <w:t>Мониторинг и выявление коррупционных рисков, в том числе причин и условий коррупции, в деятельности Калугастата по размещению государственных заказов, и устранение выявленных коррупционных рисков</w:t>
            </w:r>
          </w:p>
        </w:tc>
        <w:tc>
          <w:tcPr>
            <w:tcW w:w="2328" w:type="dxa"/>
            <w:shd w:val="clear" w:color="auto" w:fill="auto"/>
          </w:tcPr>
          <w:p>
            <w:pPr>
              <w:spacing w:line="240" w:lineRule="atLeast"/>
              <w:jc w:val="center"/>
              <w:rPr>
                <w:sz w:val="24"/>
                <w:szCs w:val="24"/>
              </w:rPr>
            </w:pPr>
            <w:r>
              <w:rPr>
                <w:sz w:val="24"/>
                <w:szCs w:val="24"/>
              </w:rPr>
              <w:t xml:space="preserve">Финансово-экономический отдел, отдел информационных технологий, административный отдел, Комиссия, единая комиссия по осуществлению закупок </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В 2019 году Калугастатом принимались меры по повышению эффективности противодействия коррупции при осуществлении закупок товаров, работ, услуг для обеспечения государственных и муниципальных нужд, совершенствованию условий, процедур и механизмов государственных закупок, а также выявлению коррупционных рисков, в том числе причин и условий коррупции, в деятельности Калугастата по размещению государственных заказов, и устранению выявленных коррупционных рисков. Это достигалось в результате неукоснительного соблюдения требований действующего законодательства при осуществлении закупок товаров, работ, услуг для нужд Калугастата.. Информация обо всех этапах процедуры размещения государственного заказа размещается на официальном сайте www.zakupki.gov.ru и сайте Калугастата (план-график проведения торгов, документация и др.).</w:t>
            </w:r>
            <w:r>
              <w:t xml:space="preserve"> </w:t>
            </w:r>
            <w:r>
              <w:rPr>
                <w:sz w:val="24"/>
                <w:szCs w:val="24"/>
              </w:rPr>
              <w:t>За прошедший период 2019 года проведено 11 электронных аукциона и 17 запросов котировок.</w:t>
            </w:r>
          </w:p>
        </w:tc>
      </w:tr>
      <w:tr>
        <w:tc>
          <w:tcPr>
            <w:tcW w:w="852" w:type="dxa"/>
            <w:shd w:val="clear" w:color="auto" w:fill="auto"/>
          </w:tcPr>
          <w:p>
            <w:pPr>
              <w:spacing w:after="120"/>
              <w:jc w:val="center"/>
              <w:rPr>
                <w:sz w:val="24"/>
                <w:szCs w:val="24"/>
              </w:rPr>
            </w:pPr>
            <w:r>
              <w:rPr>
                <w:sz w:val="24"/>
                <w:szCs w:val="24"/>
              </w:rPr>
              <w:t>2.5</w:t>
            </w:r>
          </w:p>
        </w:tc>
        <w:tc>
          <w:tcPr>
            <w:tcW w:w="5670" w:type="dxa"/>
            <w:shd w:val="clear" w:color="auto" w:fill="auto"/>
          </w:tcPr>
          <w:p>
            <w:pPr>
              <w:spacing w:line="240" w:lineRule="atLeast"/>
              <w:rPr>
                <w:sz w:val="24"/>
                <w:szCs w:val="24"/>
              </w:rPr>
            </w:pPr>
            <w:r>
              <w:rPr>
                <w:sz w:val="24"/>
                <w:szCs w:val="24"/>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w:t>
            </w:r>
            <w:r>
              <w:rPr>
                <w:sz w:val="24"/>
                <w:szCs w:val="24"/>
              </w:rPr>
              <w:lastRenderedPageBreak/>
              <w:t>производственного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Калугастате</w:t>
            </w:r>
          </w:p>
        </w:tc>
        <w:tc>
          <w:tcPr>
            <w:tcW w:w="2328" w:type="dxa"/>
            <w:shd w:val="clear" w:color="auto" w:fill="auto"/>
          </w:tcPr>
          <w:p>
            <w:pPr>
              <w:spacing w:line="240" w:lineRule="atLeast"/>
              <w:jc w:val="center"/>
              <w:rPr>
                <w:sz w:val="24"/>
                <w:szCs w:val="24"/>
              </w:rPr>
            </w:pPr>
            <w:r>
              <w:rPr>
                <w:sz w:val="24"/>
                <w:szCs w:val="24"/>
              </w:rPr>
              <w:lastRenderedPageBreak/>
              <w:t xml:space="preserve">Финансово-экономический отдел, отдел информационных </w:t>
            </w:r>
            <w:r>
              <w:rPr>
                <w:sz w:val="24"/>
                <w:szCs w:val="24"/>
              </w:rPr>
              <w:lastRenderedPageBreak/>
              <w:t>технологий, административный отдел, Комиссия, единая комиссия по осуществлению закупок</w:t>
            </w:r>
          </w:p>
        </w:tc>
        <w:tc>
          <w:tcPr>
            <w:tcW w:w="1641" w:type="dxa"/>
            <w:shd w:val="clear" w:color="auto" w:fill="auto"/>
          </w:tcPr>
          <w:p>
            <w:pPr>
              <w:spacing w:line="240" w:lineRule="atLeast"/>
              <w:jc w:val="center"/>
              <w:rPr>
                <w:sz w:val="24"/>
                <w:szCs w:val="24"/>
              </w:rPr>
            </w:pPr>
            <w:r>
              <w:rPr>
                <w:sz w:val="24"/>
                <w:szCs w:val="24"/>
              </w:rPr>
              <w:lastRenderedPageBreak/>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 xml:space="preserve">В 2019 году проводился мониторинг и выявление проявлений коррупционных действий при размещении государственных заказов, а также принимались меры в целях </w:t>
            </w:r>
            <w:r>
              <w:rPr>
                <w:sz w:val="24"/>
                <w:szCs w:val="24"/>
              </w:rPr>
              <w:lastRenderedPageBreak/>
              <w:t>целевого использования и экономии бюджетных средств.</w:t>
            </w:r>
          </w:p>
        </w:tc>
      </w:tr>
      <w:tr>
        <w:tc>
          <w:tcPr>
            <w:tcW w:w="15452" w:type="dxa"/>
            <w:gridSpan w:val="5"/>
            <w:shd w:val="clear" w:color="auto" w:fill="auto"/>
          </w:tcPr>
          <w:p>
            <w:pPr>
              <w:spacing w:line="240" w:lineRule="auto"/>
              <w:jc w:val="center"/>
              <w:rPr>
                <w:b/>
              </w:rPr>
            </w:pPr>
            <w:r>
              <w:rPr>
                <w:b/>
                <w:sz w:val="24"/>
                <w:szCs w:val="24"/>
              </w:rPr>
              <w:lastRenderedPageBreak/>
              <w:t>3. Взаимодействие Калугастата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Калугастата</w:t>
            </w:r>
          </w:p>
        </w:tc>
      </w:tr>
      <w:tr>
        <w:tc>
          <w:tcPr>
            <w:tcW w:w="852" w:type="dxa"/>
            <w:shd w:val="clear" w:color="auto" w:fill="auto"/>
          </w:tcPr>
          <w:p>
            <w:pPr>
              <w:spacing w:after="120"/>
              <w:jc w:val="center"/>
              <w:rPr>
                <w:sz w:val="24"/>
                <w:szCs w:val="24"/>
              </w:rPr>
            </w:pPr>
            <w:r>
              <w:rPr>
                <w:sz w:val="24"/>
                <w:szCs w:val="24"/>
              </w:rPr>
              <w:t>3.1</w:t>
            </w:r>
          </w:p>
        </w:tc>
        <w:tc>
          <w:tcPr>
            <w:tcW w:w="5670" w:type="dxa"/>
            <w:shd w:val="clear" w:color="auto" w:fill="auto"/>
          </w:tcPr>
          <w:p>
            <w:pPr>
              <w:spacing w:line="240" w:lineRule="atLeast"/>
              <w:rPr>
                <w:sz w:val="24"/>
                <w:szCs w:val="24"/>
              </w:rPr>
            </w:pPr>
            <w:r>
              <w:rPr>
                <w:sz w:val="24"/>
                <w:szCs w:val="24"/>
              </w:rPr>
              <w:t xml:space="preserve">Обеспечение размещения на официальном сайте Калугастата в информационно-телекоммуникационной сети Интернет информации об антикоррупционной деятельности Калугастата, ведение специализированного подраздела «Противодействие коррупции». </w:t>
            </w:r>
            <w:r>
              <w:rPr>
                <w:rStyle w:val="FontStyle33"/>
              </w:rPr>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w:t>
            </w:r>
            <w:r>
              <w:t xml:space="preserve"> </w:t>
            </w:r>
            <w:r>
              <w:rPr>
                <w:rStyle w:val="FontStyle33"/>
              </w:rPr>
              <w:t>имущественного характера»</w:t>
            </w:r>
          </w:p>
        </w:tc>
        <w:tc>
          <w:tcPr>
            <w:tcW w:w="2328" w:type="dxa"/>
            <w:shd w:val="clear" w:color="auto" w:fill="auto"/>
          </w:tcPr>
          <w:p>
            <w:pPr>
              <w:spacing w:line="240" w:lineRule="atLeast"/>
              <w:jc w:val="center"/>
              <w:rPr>
                <w:sz w:val="24"/>
                <w:szCs w:val="24"/>
              </w:rPr>
            </w:pPr>
            <w:r>
              <w:rPr>
                <w:sz w:val="24"/>
                <w:szCs w:val="24"/>
              </w:rPr>
              <w:t>Административный отдел, отдел информационных технологий</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rFonts w:ascii="Times New Roman" w:hAnsi="Times New Roman"/>
                <w:sz w:val="24"/>
                <w:szCs w:val="24"/>
              </w:rPr>
              <w:t xml:space="preserve">Калугастатом постоянно проводится работа по приведению подраздела официального сайта территориального органа «противодействие коррупции», в соответствие с едиными требованиями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утвержденными Министерством труда и социальной защиты Российской Федерации от 07.10.2013 № 530н. (далее – Требования) В соответствии с письмами Росстата от 05.08.2019 № 15-15-7/3908–ТО и от 30.09.2019 № 15-15-7/4735 -ТО в связи с проведенным Минтрудом России мониторингом,  докладом Минтруда России о результатах мониторинга Президенту Российской Федерации, выявленными Типовыми нарушениями Требований к сайтам в Калугастате был проведен анализ указанного  доклада и мониторинг выполнения этих Требований в соответствии с Методическими рекомендациями для проведения мониторинга </w:t>
            </w:r>
            <w:r>
              <w:rPr>
                <w:rFonts w:ascii="Times New Roman" w:hAnsi="Times New Roman"/>
                <w:sz w:val="24"/>
                <w:szCs w:val="24"/>
              </w:rPr>
              <w:lastRenderedPageBreak/>
              <w:t>размещения на официальных сайтах федеральных органов исполнительной власти в информационно-коммуникационной сети Интернет актуальной информации о мерах  по профилактике и противодействию коррупции. Калугастатом б</w:t>
            </w:r>
            <w:r>
              <w:rPr>
                <w:rStyle w:val="FontStyle33"/>
              </w:rPr>
              <w:t>ыло актуализировано содержание подраздела, посвященного вопросам противодействия коррупции, и результаты данной работы представлены Калугастатом в предложенной для заполнения Минтрудом России форме мониторинга размещения на официальном сайте в информационно-телекоммуникационной сети «Интернет» актуальной информации о мерах по профилактике и противодействию коррупции (письмо Калугастата от 06.09.2019 № НС-43-01/445-ЦА).</w:t>
            </w:r>
          </w:p>
        </w:tc>
      </w:tr>
      <w:tr>
        <w:tc>
          <w:tcPr>
            <w:tcW w:w="852" w:type="dxa"/>
            <w:shd w:val="clear" w:color="auto" w:fill="auto"/>
          </w:tcPr>
          <w:p>
            <w:pPr>
              <w:spacing w:after="120"/>
              <w:jc w:val="center"/>
              <w:rPr>
                <w:sz w:val="24"/>
                <w:szCs w:val="24"/>
              </w:rPr>
            </w:pPr>
            <w:r>
              <w:rPr>
                <w:sz w:val="24"/>
                <w:szCs w:val="24"/>
              </w:rPr>
              <w:lastRenderedPageBreak/>
              <w:t>3.2</w:t>
            </w:r>
          </w:p>
        </w:tc>
        <w:tc>
          <w:tcPr>
            <w:tcW w:w="5670" w:type="dxa"/>
            <w:shd w:val="clear" w:color="auto" w:fill="auto"/>
          </w:tcPr>
          <w:p>
            <w:pPr>
              <w:spacing w:line="240" w:lineRule="atLeast"/>
              <w:rPr>
                <w:sz w:val="24"/>
                <w:szCs w:val="24"/>
              </w:rPr>
            </w:pPr>
            <w:r>
              <w:rPr>
                <w:sz w:val="24"/>
                <w:szCs w:val="24"/>
              </w:rPr>
              <w:t>Взаимодействие с Общественным советом при Калугастате (далее – Общественный совет) по вопросам противодействия коррупции:</w:t>
            </w:r>
          </w:p>
          <w:p>
            <w:pPr>
              <w:spacing w:line="240" w:lineRule="atLeast"/>
              <w:rPr>
                <w:sz w:val="24"/>
                <w:szCs w:val="24"/>
              </w:rPr>
            </w:pPr>
            <w:r>
              <w:rPr>
                <w:sz w:val="24"/>
                <w:szCs w:val="24"/>
              </w:rPr>
              <w:t>-рассмотрение на заседаниях Общественного совета плана Калугастата по противодействию коррупции, а также докладов и других документов о ходе и результатах его выполнения;</w:t>
            </w:r>
          </w:p>
          <w:p>
            <w:pPr>
              <w:spacing w:line="240" w:lineRule="atLeast"/>
              <w:rPr>
                <w:sz w:val="24"/>
                <w:szCs w:val="24"/>
              </w:rPr>
            </w:pPr>
            <w:r>
              <w:rPr>
                <w:sz w:val="24"/>
                <w:szCs w:val="24"/>
              </w:rPr>
              <w:t>- участие представителей Общественного совета в заседаниях Комиссии</w:t>
            </w:r>
          </w:p>
        </w:tc>
        <w:tc>
          <w:tcPr>
            <w:tcW w:w="2328" w:type="dxa"/>
            <w:shd w:val="clear" w:color="auto" w:fill="auto"/>
          </w:tcPr>
          <w:p>
            <w:pPr>
              <w:spacing w:line="240" w:lineRule="atLeast"/>
              <w:jc w:val="center"/>
              <w:rPr>
                <w:sz w:val="24"/>
                <w:szCs w:val="24"/>
              </w:rPr>
            </w:pPr>
            <w:r>
              <w:rPr>
                <w:sz w:val="24"/>
                <w:szCs w:val="24"/>
              </w:rPr>
              <w:t>Административный отдел,</w:t>
            </w:r>
          </w:p>
          <w:p>
            <w:pPr>
              <w:spacing w:line="240" w:lineRule="atLeast"/>
              <w:jc w:val="center"/>
              <w:rPr>
                <w:sz w:val="24"/>
                <w:szCs w:val="24"/>
              </w:rPr>
            </w:pPr>
            <w:r>
              <w:rPr>
                <w:sz w:val="24"/>
                <w:szCs w:val="24"/>
              </w:rPr>
              <w:t>отдел сводных статистических работ</w:t>
            </w:r>
          </w:p>
        </w:tc>
        <w:tc>
          <w:tcPr>
            <w:tcW w:w="1641" w:type="dxa"/>
            <w:shd w:val="clear" w:color="auto" w:fill="auto"/>
          </w:tcPr>
          <w:p>
            <w:pPr>
              <w:spacing w:line="240" w:lineRule="atLeast"/>
              <w:jc w:val="center"/>
              <w:rPr>
                <w:sz w:val="24"/>
                <w:szCs w:val="24"/>
              </w:rPr>
            </w:pPr>
            <w:r>
              <w:rPr>
                <w:sz w:val="24"/>
                <w:szCs w:val="24"/>
              </w:rPr>
              <w:t xml:space="preserve">В течение </w:t>
            </w:r>
          </w:p>
          <w:p>
            <w:pPr>
              <w:spacing w:line="240" w:lineRule="atLeast"/>
              <w:jc w:val="center"/>
              <w:rPr>
                <w:sz w:val="24"/>
                <w:szCs w:val="24"/>
              </w:rPr>
            </w:pPr>
            <w:r>
              <w:rPr>
                <w:sz w:val="24"/>
                <w:szCs w:val="24"/>
              </w:rPr>
              <w:t>2018-2020 гг.</w:t>
            </w:r>
          </w:p>
          <w:p>
            <w:pPr>
              <w:spacing w:line="240" w:lineRule="atLeast"/>
              <w:jc w:val="center"/>
              <w:rPr>
                <w:sz w:val="24"/>
                <w:szCs w:val="24"/>
              </w:rPr>
            </w:pPr>
          </w:p>
          <w:p>
            <w:pPr>
              <w:spacing w:line="240" w:lineRule="atLeast"/>
              <w:jc w:val="center"/>
              <w:rPr>
                <w:sz w:val="24"/>
                <w:szCs w:val="24"/>
              </w:rPr>
            </w:pPr>
            <w:r>
              <w:rPr>
                <w:sz w:val="24"/>
                <w:szCs w:val="24"/>
              </w:rPr>
              <w:t xml:space="preserve">ежегодно в </w:t>
            </w:r>
            <w:r>
              <w:rPr>
                <w:sz w:val="24"/>
                <w:szCs w:val="24"/>
                <w:lang w:val="en-US"/>
              </w:rPr>
              <w:t>IV</w:t>
            </w:r>
            <w:r>
              <w:rPr>
                <w:sz w:val="24"/>
                <w:szCs w:val="24"/>
              </w:rPr>
              <w:t xml:space="preserve"> кв. года, следующего за отчетным</w:t>
            </w:r>
          </w:p>
          <w:p>
            <w:pPr>
              <w:spacing w:line="240" w:lineRule="atLeast"/>
              <w:jc w:val="center"/>
              <w:rPr>
                <w:sz w:val="24"/>
                <w:szCs w:val="24"/>
              </w:rPr>
            </w:pPr>
            <w:r>
              <w:rPr>
                <w:sz w:val="24"/>
                <w:szCs w:val="24"/>
              </w:rPr>
              <w:t>в течение 2018-2020 гг.</w:t>
            </w:r>
          </w:p>
        </w:tc>
        <w:tc>
          <w:tcPr>
            <w:tcW w:w="4961" w:type="dxa"/>
            <w:shd w:val="clear" w:color="auto" w:fill="auto"/>
          </w:tcPr>
          <w:p>
            <w:pPr>
              <w:spacing w:line="240" w:lineRule="atLeast"/>
              <w:rPr>
                <w:sz w:val="24"/>
                <w:szCs w:val="24"/>
              </w:rPr>
            </w:pPr>
            <w:r>
              <w:rPr>
                <w:sz w:val="24"/>
                <w:szCs w:val="24"/>
              </w:rPr>
              <w:t>Председатель Общественного совета входит в состав Комиссии</w:t>
            </w:r>
            <w:r>
              <w:t xml:space="preserve"> </w:t>
            </w:r>
            <w:r>
              <w:rPr>
                <w:sz w:val="24"/>
                <w:szCs w:val="24"/>
              </w:rPr>
              <w:t>по соблюдению требований к служебному поведению федеральных государственных гражданских служащих Калугастата и урегулированию конфликта интересов (далее- Комиссия). Члены Общественного совета участвуют в заседаниях Комиссии.</w:t>
            </w:r>
          </w:p>
          <w:p>
            <w:pPr>
              <w:spacing w:line="240" w:lineRule="atLeast"/>
              <w:rPr>
                <w:sz w:val="24"/>
                <w:szCs w:val="24"/>
              </w:rPr>
            </w:pPr>
          </w:p>
        </w:tc>
      </w:tr>
      <w:tr>
        <w:tc>
          <w:tcPr>
            <w:tcW w:w="852" w:type="dxa"/>
            <w:shd w:val="clear" w:color="auto" w:fill="auto"/>
          </w:tcPr>
          <w:p>
            <w:pPr>
              <w:spacing w:after="120"/>
              <w:jc w:val="center"/>
              <w:rPr>
                <w:sz w:val="24"/>
                <w:szCs w:val="24"/>
              </w:rPr>
            </w:pPr>
            <w:r>
              <w:rPr>
                <w:sz w:val="24"/>
                <w:szCs w:val="24"/>
              </w:rPr>
              <w:t>3.3</w:t>
            </w:r>
          </w:p>
        </w:tc>
        <w:tc>
          <w:tcPr>
            <w:tcW w:w="5670" w:type="dxa"/>
            <w:shd w:val="clear" w:color="auto" w:fill="auto"/>
          </w:tcPr>
          <w:p>
            <w:pPr>
              <w:spacing w:line="240" w:lineRule="atLeast"/>
              <w:rPr>
                <w:sz w:val="24"/>
                <w:szCs w:val="24"/>
              </w:rPr>
            </w:pPr>
            <w:r>
              <w:rPr>
                <w:sz w:val="24"/>
                <w:szCs w:val="24"/>
              </w:rPr>
              <w:t>Обеспечение возможности оперативного представления гражданами и организациями информации о фактах коррупции в Калугастате или нарушениях гражданскими служащими Калугастата требований к служебному поведению посредством:</w:t>
            </w:r>
          </w:p>
          <w:p>
            <w:pPr>
              <w:spacing w:line="240" w:lineRule="atLeast"/>
              <w:rPr>
                <w:sz w:val="24"/>
                <w:szCs w:val="24"/>
              </w:rPr>
            </w:pPr>
            <w:r>
              <w:rPr>
                <w:sz w:val="24"/>
                <w:szCs w:val="24"/>
              </w:rPr>
              <w:lastRenderedPageBreak/>
              <w:t>- функционирования «телефона доверия» по вопросам противодействия коррупции;</w:t>
            </w:r>
          </w:p>
          <w:p>
            <w:pPr>
              <w:spacing w:line="240" w:lineRule="atLeast"/>
              <w:rPr>
                <w:sz w:val="24"/>
                <w:szCs w:val="24"/>
              </w:rPr>
            </w:pPr>
            <w:r>
              <w:rPr>
                <w:sz w:val="24"/>
                <w:szCs w:val="24"/>
              </w:rPr>
              <w:t>- обеспечение приема электронных сообщений на официальном Интернет-сайте Калугастата в информационно-телекоммуникационной сети «Интернет»</w:t>
            </w:r>
          </w:p>
        </w:tc>
        <w:tc>
          <w:tcPr>
            <w:tcW w:w="2328" w:type="dxa"/>
            <w:shd w:val="clear" w:color="auto" w:fill="auto"/>
          </w:tcPr>
          <w:p>
            <w:pPr>
              <w:spacing w:line="240" w:lineRule="atLeast"/>
              <w:jc w:val="center"/>
              <w:rPr>
                <w:sz w:val="24"/>
                <w:szCs w:val="24"/>
              </w:rPr>
            </w:pPr>
            <w:r>
              <w:rPr>
                <w:sz w:val="24"/>
                <w:szCs w:val="24"/>
              </w:rPr>
              <w:lastRenderedPageBreak/>
              <w:t>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 xml:space="preserve">В Калугастате приняты меры по обеспечению возможности оперативного представления гражданами и организациями информации о фактах коррупции в Калугастате или нарушениях требований к служебному </w:t>
            </w:r>
            <w:r>
              <w:rPr>
                <w:sz w:val="24"/>
                <w:szCs w:val="24"/>
              </w:rPr>
              <w:lastRenderedPageBreak/>
              <w:t xml:space="preserve">поведению федеральных государственных гражданских служащих Калугастата. </w:t>
            </w:r>
          </w:p>
          <w:p>
            <w:pPr>
              <w:spacing w:line="240" w:lineRule="atLeast"/>
              <w:rPr>
                <w:sz w:val="24"/>
                <w:szCs w:val="24"/>
              </w:rPr>
            </w:pPr>
            <w:r>
              <w:rPr>
                <w:sz w:val="24"/>
                <w:szCs w:val="24"/>
              </w:rPr>
              <w:t>В Калугастате действует «телефон доверия" по вопросам противодействия коррупции, обеспечена возможность приема электронных сообщений на официальном сайте Калугастата.</w:t>
            </w:r>
          </w:p>
          <w:p>
            <w:pPr>
              <w:spacing w:line="240" w:lineRule="atLeast"/>
              <w:rPr>
                <w:sz w:val="24"/>
                <w:szCs w:val="24"/>
              </w:rPr>
            </w:pPr>
            <w:r>
              <w:rPr>
                <w:sz w:val="24"/>
                <w:szCs w:val="24"/>
              </w:rPr>
              <w:t>На официальном Интернет-сайте Калугастата размещен онлайн-опрос по вопросу оценки работы по противодействию коррупции.</w:t>
            </w:r>
            <w:r>
              <w:rPr>
                <w:rFonts w:ascii="Times New Roman" w:hAnsi="Times New Roman"/>
                <w:bCs/>
                <w:sz w:val="20"/>
                <w:szCs w:val="28"/>
              </w:rPr>
              <w:t xml:space="preserve"> </w:t>
            </w:r>
            <w:r>
              <w:rPr>
                <w:bCs/>
                <w:sz w:val="24"/>
                <w:szCs w:val="24"/>
              </w:rPr>
              <w:t>Завершили опрос 15 февраля 2019 г.</w:t>
            </w:r>
          </w:p>
        </w:tc>
      </w:tr>
      <w:tr>
        <w:tc>
          <w:tcPr>
            <w:tcW w:w="852" w:type="dxa"/>
            <w:shd w:val="clear" w:color="auto" w:fill="auto"/>
          </w:tcPr>
          <w:p>
            <w:pPr>
              <w:spacing w:after="120"/>
              <w:jc w:val="center"/>
              <w:rPr>
                <w:sz w:val="24"/>
                <w:szCs w:val="24"/>
              </w:rPr>
            </w:pPr>
            <w:r>
              <w:rPr>
                <w:sz w:val="24"/>
                <w:szCs w:val="24"/>
              </w:rPr>
              <w:lastRenderedPageBreak/>
              <w:t>3.4</w:t>
            </w:r>
          </w:p>
        </w:tc>
        <w:tc>
          <w:tcPr>
            <w:tcW w:w="5670" w:type="dxa"/>
            <w:shd w:val="clear" w:color="auto" w:fill="auto"/>
          </w:tcPr>
          <w:p>
            <w:pPr>
              <w:spacing w:line="240" w:lineRule="atLeast"/>
              <w:rPr>
                <w:sz w:val="24"/>
                <w:szCs w:val="24"/>
              </w:rPr>
            </w:pPr>
            <w:r>
              <w:rPr>
                <w:sz w:val="24"/>
                <w:szCs w:val="24"/>
              </w:rPr>
              <w:t>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2328" w:type="dxa"/>
            <w:shd w:val="clear" w:color="auto" w:fill="auto"/>
          </w:tcPr>
          <w:p>
            <w:pPr>
              <w:spacing w:line="240" w:lineRule="atLeast"/>
              <w:jc w:val="center"/>
              <w:rPr>
                <w:sz w:val="24"/>
                <w:szCs w:val="24"/>
              </w:rPr>
            </w:pPr>
            <w:r>
              <w:rPr>
                <w:sz w:val="24"/>
                <w:szCs w:val="24"/>
              </w:rPr>
              <w:t>Административный отдел,</w:t>
            </w:r>
          </w:p>
          <w:p>
            <w:pPr>
              <w:spacing w:line="240" w:lineRule="atLeast"/>
              <w:jc w:val="center"/>
              <w:rPr>
                <w:sz w:val="24"/>
                <w:szCs w:val="24"/>
              </w:rPr>
            </w:pPr>
            <w:r>
              <w:rPr>
                <w:sz w:val="24"/>
                <w:szCs w:val="24"/>
              </w:rPr>
              <w:t>Комиссия</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За истекший период заявлений и обращений граждан и организаций о фактах проявления коррупции в Калугастат не поступало.</w:t>
            </w:r>
          </w:p>
        </w:tc>
      </w:tr>
      <w:tr>
        <w:tc>
          <w:tcPr>
            <w:tcW w:w="852" w:type="dxa"/>
            <w:shd w:val="clear" w:color="auto" w:fill="auto"/>
          </w:tcPr>
          <w:p>
            <w:pPr>
              <w:spacing w:after="120"/>
              <w:jc w:val="center"/>
              <w:rPr>
                <w:sz w:val="24"/>
                <w:szCs w:val="24"/>
              </w:rPr>
            </w:pPr>
            <w:r>
              <w:rPr>
                <w:sz w:val="24"/>
                <w:szCs w:val="24"/>
              </w:rPr>
              <w:t>3.5</w:t>
            </w:r>
          </w:p>
        </w:tc>
        <w:tc>
          <w:tcPr>
            <w:tcW w:w="5670" w:type="dxa"/>
            <w:shd w:val="clear" w:color="auto" w:fill="auto"/>
          </w:tcPr>
          <w:p>
            <w:pPr>
              <w:spacing w:line="240" w:lineRule="atLeast"/>
              <w:rPr>
                <w:sz w:val="24"/>
                <w:szCs w:val="24"/>
              </w:rPr>
            </w:pPr>
            <w:r>
              <w:rPr>
                <w:sz w:val="24"/>
                <w:szCs w:val="24"/>
              </w:rPr>
              <w:t>Обеспечение эффективного взаимодействия Калугастата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противодействии коррупции</w:t>
            </w:r>
          </w:p>
        </w:tc>
        <w:tc>
          <w:tcPr>
            <w:tcW w:w="2328" w:type="dxa"/>
            <w:shd w:val="clear" w:color="auto" w:fill="auto"/>
          </w:tcPr>
          <w:p>
            <w:pPr>
              <w:spacing w:line="240" w:lineRule="atLeast"/>
              <w:jc w:val="center"/>
              <w:rPr>
                <w:sz w:val="24"/>
                <w:szCs w:val="24"/>
              </w:rPr>
            </w:pPr>
            <w:r>
              <w:rPr>
                <w:sz w:val="24"/>
                <w:szCs w:val="24"/>
              </w:rPr>
              <w:t>Административный отдел, Комиссия</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Калугастат всегда готов к эффективному взаимодействию</w:t>
            </w:r>
            <w:r>
              <w:t xml:space="preserve"> </w:t>
            </w:r>
            <w:r>
              <w:rPr>
                <w:sz w:val="24"/>
                <w:szCs w:val="24"/>
              </w:rPr>
              <w:t>с институтами гражданского общества по вопросам противодействия коррупции. За истекший период это взаимодействие не происходило.</w:t>
            </w:r>
          </w:p>
        </w:tc>
      </w:tr>
      <w:tr>
        <w:trPr>
          <w:trHeight w:val="2672"/>
        </w:trPr>
        <w:tc>
          <w:tcPr>
            <w:tcW w:w="852" w:type="dxa"/>
            <w:shd w:val="clear" w:color="auto" w:fill="auto"/>
          </w:tcPr>
          <w:p>
            <w:pPr>
              <w:spacing w:after="120"/>
              <w:jc w:val="center"/>
              <w:rPr>
                <w:sz w:val="24"/>
                <w:szCs w:val="24"/>
              </w:rPr>
            </w:pPr>
            <w:r>
              <w:rPr>
                <w:sz w:val="24"/>
                <w:szCs w:val="24"/>
              </w:rPr>
              <w:t>3.6</w:t>
            </w:r>
          </w:p>
        </w:tc>
        <w:tc>
          <w:tcPr>
            <w:tcW w:w="5670" w:type="dxa"/>
            <w:shd w:val="clear" w:color="auto" w:fill="auto"/>
          </w:tcPr>
          <w:p>
            <w:pPr>
              <w:spacing w:line="240" w:lineRule="atLeast"/>
              <w:rPr>
                <w:sz w:val="24"/>
                <w:szCs w:val="24"/>
              </w:rPr>
            </w:pPr>
            <w:r>
              <w:rPr>
                <w:sz w:val="24"/>
                <w:szCs w:val="24"/>
              </w:rPr>
              <w:t>Обеспечение эффективного взаимодействия Калугастата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Калугастатом, и придание гласности фактов коррупции в Калугастате</w:t>
            </w:r>
          </w:p>
        </w:tc>
        <w:tc>
          <w:tcPr>
            <w:tcW w:w="2328" w:type="dxa"/>
            <w:shd w:val="clear" w:color="auto" w:fill="auto"/>
          </w:tcPr>
          <w:p>
            <w:pPr>
              <w:spacing w:line="240" w:lineRule="atLeast"/>
              <w:jc w:val="center"/>
              <w:rPr>
                <w:sz w:val="24"/>
                <w:szCs w:val="24"/>
              </w:rPr>
            </w:pPr>
            <w:r>
              <w:rPr>
                <w:sz w:val="24"/>
                <w:szCs w:val="24"/>
              </w:rPr>
              <w:t>Отдел сводных статистических работ, административный отдел</w:t>
            </w:r>
          </w:p>
        </w:tc>
        <w:tc>
          <w:tcPr>
            <w:tcW w:w="1641" w:type="dxa"/>
            <w:shd w:val="clear" w:color="auto" w:fill="auto"/>
          </w:tcPr>
          <w:p>
            <w:pPr>
              <w:spacing w:line="240" w:lineRule="atLeast"/>
              <w:jc w:val="center"/>
              <w:rPr>
                <w:sz w:val="24"/>
                <w:szCs w:val="24"/>
              </w:rPr>
            </w:pPr>
            <w:r>
              <w:rPr>
                <w:sz w:val="24"/>
                <w:szCs w:val="24"/>
              </w:rPr>
              <w:t>В течение</w:t>
            </w:r>
          </w:p>
          <w:p>
            <w:pPr>
              <w:spacing w:line="240" w:lineRule="atLeast"/>
              <w:jc w:val="center"/>
              <w:rPr>
                <w:sz w:val="24"/>
                <w:szCs w:val="24"/>
              </w:rPr>
            </w:pPr>
            <w:r>
              <w:rPr>
                <w:sz w:val="24"/>
                <w:szCs w:val="24"/>
              </w:rPr>
              <w:t>2018-2020 гг.</w:t>
            </w:r>
          </w:p>
        </w:tc>
        <w:tc>
          <w:tcPr>
            <w:tcW w:w="4961" w:type="dxa"/>
            <w:shd w:val="clear" w:color="auto" w:fill="auto"/>
          </w:tcPr>
          <w:p>
            <w:pPr>
              <w:spacing w:line="240" w:lineRule="atLeast"/>
              <w:rPr>
                <w:sz w:val="24"/>
                <w:szCs w:val="24"/>
              </w:rPr>
            </w:pPr>
            <w:r>
              <w:rPr>
                <w:sz w:val="24"/>
                <w:szCs w:val="24"/>
              </w:rPr>
              <w:t>Руководство Калугастата всегда открыто к эффективному взаимодействию со средствами массовой информации по всем вопросам, в том числе и в сфере противодействия коррупции. Освещение в средствах массовой информации фактов коррупции в Калугастате не происходило в связи с их отсутствием.</w:t>
            </w:r>
          </w:p>
        </w:tc>
      </w:tr>
      <w:tr>
        <w:trPr>
          <w:trHeight w:val="839"/>
        </w:trPr>
        <w:tc>
          <w:tcPr>
            <w:tcW w:w="852" w:type="dxa"/>
            <w:shd w:val="clear" w:color="auto" w:fill="auto"/>
          </w:tcPr>
          <w:p>
            <w:pPr>
              <w:spacing w:after="120"/>
              <w:jc w:val="center"/>
              <w:rPr>
                <w:sz w:val="24"/>
                <w:szCs w:val="24"/>
              </w:rPr>
            </w:pPr>
            <w:r>
              <w:rPr>
                <w:sz w:val="24"/>
                <w:szCs w:val="24"/>
              </w:rPr>
              <w:lastRenderedPageBreak/>
              <w:t>3.7</w:t>
            </w:r>
          </w:p>
        </w:tc>
        <w:tc>
          <w:tcPr>
            <w:tcW w:w="5670" w:type="dxa"/>
            <w:shd w:val="clear" w:color="auto" w:fill="auto"/>
          </w:tcPr>
          <w:p>
            <w:pPr>
              <w:spacing w:line="240" w:lineRule="atLeast"/>
              <w:rPr>
                <w:sz w:val="24"/>
                <w:szCs w:val="24"/>
              </w:rPr>
            </w:pPr>
            <w:r>
              <w:rPr>
                <w:sz w:val="24"/>
                <w:szCs w:val="24"/>
              </w:rPr>
              <w:t>Мониторинг публикаций в средствах массовой информации о фактах проявления коррупции в Калугастате и организация проверки таких фактов</w:t>
            </w:r>
          </w:p>
        </w:tc>
        <w:tc>
          <w:tcPr>
            <w:tcW w:w="2328" w:type="dxa"/>
            <w:shd w:val="clear" w:color="auto" w:fill="auto"/>
          </w:tcPr>
          <w:p>
            <w:pPr>
              <w:widowControl w:val="0"/>
              <w:spacing w:line="240" w:lineRule="auto"/>
              <w:jc w:val="center"/>
              <w:rPr>
                <w:sz w:val="24"/>
                <w:szCs w:val="24"/>
              </w:rPr>
            </w:pPr>
            <w:r>
              <w:rPr>
                <w:sz w:val="24"/>
                <w:szCs w:val="24"/>
              </w:rPr>
              <w:t>Отдел сводных статистических работ, административный отдел</w:t>
            </w:r>
          </w:p>
        </w:tc>
        <w:tc>
          <w:tcPr>
            <w:tcW w:w="1641" w:type="dxa"/>
            <w:shd w:val="clear" w:color="auto" w:fill="auto"/>
          </w:tcPr>
          <w:p>
            <w:pPr>
              <w:spacing w:line="240" w:lineRule="atLeast"/>
              <w:jc w:val="center"/>
              <w:rPr>
                <w:sz w:val="24"/>
                <w:szCs w:val="24"/>
              </w:rPr>
            </w:pPr>
            <w:r>
              <w:rPr>
                <w:sz w:val="24"/>
                <w:szCs w:val="24"/>
              </w:rPr>
              <w:t xml:space="preserve">В течение </w:t>
            </w:r>
          </w:p>
          <w:p>
            <w:pPr>
              <w:spacing w:line="240" w:lineRule="atLeast"/>
              <w:jc w:val="center"/>
              <w:rPr>
                <w:sz w:val="24"/>
                <w:szCs w:val="24"/>
              </w:rPr>
            </w:pPr>
            <w:r>
              <w:rPr>
                <w:sz w:val="24"/>
                <w:szCs w:val="24"/>
              </w:rPr>
              <w:t>2018-2020 гг.</w:t>
            </w:r>
          </w:p>
        </w:tc>
        <w:tc>
          <w:tcPr>
            <w:tcW w:w="4961" w:type="dxa"/>
            <w:shd w:val="clear" w:color="auto" w:fill="auto"/>
          </w:tcPr>
          <w:p>
            <w:pPr>
              <w:widowControl w:val="0"/>
              <w:spacing w:line="240" w:lineRule="auto"/>
              <w:rPr>
                <w:sz w:val="24"/>
                <w:szCs w:val="24"/>
              </w:rPr>
            </w:pPr>
            <w:r>
              <w:rPr>
                <w:sz w:val="24"/>
                <w:szCs w:val="24"/>
              </w:rPr>
              <w:t xml:space="preserve">Проводится мониторинг информации в СМИ проявления коррупции в Калугастате. </w:t>
            </w:r>
            <w:r>
              <w:rPr>
                <w:sz w:val="24"/>
                <w:szCs w:val="24"/>
                <w:lang w:val="en-US"/>
              </w:rPr>
              <w:t>В</w:t>
            </w:r>
            <w:bookmarkStart w:id="0" w:name="_GoBack"/>
            <w:bookmarkEnd w:id="0"/>
            <w:r>
              <w:rPr>
                <w:sz w:val="24"/>
                <w:szCs w:val="24"/>
              </w:rPr>
              <w:t xml:space="preserve"> 2019 году факты проявления коррупции в Калугастате в СМИ не поступали.</w:t>
            </w:r>
          </w:p>
        </w:tc>
      </w:tr>
    </w:tbl>
    <w:p>
      <w:pPr>
        <w:pStyle w:val="ConsPlusNormal"/>
        <w:jc w:val="center"/>
      </w:pPr>
    </w:p>
    <w:sectPr>
      <w:pgSz w:w="16840" w:h="11907" w:orient="landscape"/>
      <w:pgMar w:top="1276" w:right="1134" w:bottom="992"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66A97"/>
    <w:multiLevelType w:val="hybridMultilevel"/>
    <w:tmpl w:val="20E43632"/>
    <w:lvl w:ilvl="0" w:tplc="4BDA550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E9CE6-128E-45A3-B9FD-FD8D51FE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Стиль"/>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pPr>
      <w:tabs>
        <w:tab w:val="center" w:pos="4677"/>
        <w:tab w:val="right" w:pos="9355"/>
      </w:tabs>
      <w:spacing w:after="200" w:line="276" w:lineRule="auto"/>
      <w:jc w:val="left"/>
    </w:pPr>
    <w:rPr>
      <w:rFonts w:asciiTheme="minorHAnsi" w:eastAsiaTheme="minorEastAsia" w:hAnsiTheme="minorHAnsi"/>
      <w:sz w:val="22"/>
      <w:szCs w:val="22"/>
    </w:rPr>
  </w:style>
  <w:style w:type="character" w:customStyle="1" w:styleId="a5">
    <w:name w:val="Верхний колонтитул Знак"/>
    <w:basedOn w:val="a0"/>
    <w:link w:val="a4"/>
    <w:uiPriority w:val="99"/>
    <w:rPr>
      <w:rFonts w:eastAsiaTheme="minorEastAsia" w:cs="Times New Roman"/>
      <w:lang w:eastAsia="ru-RU"/>
    </w:rPr>
  </w:style>
  <w:style w:type="paragraph" w:styleId="a6">
    <w:name w:val="footer"/>
    <w:basedOn w:val="a"/>
    <w:link w:val="a7"/>
    <w:uiPriority w:val="99"/>
    <w:unhideWhenUsed/>
    <w:pPr>
      <w:tabs>
        <w:tab w:val="center" w:pos="4677"/>
        <w:tab w:val="right" w:pos="9355"/>
      </w:tabs>
      <w:spacing w:after="200" w:line="276" w:lineRule="auto"/>
      <w:jc w:val="left"/>
    </w:pPr>
    <w:rPr>
      <w:rFonts w:asciiTheme="minorHAnsi" w:eastAsiaTheme="minorEastAsia" w:hAnsiTheme="minorHAnsi"/>
      <w:sz w:val="22"/>
      <w:szCs w:val="22"/>
    </w:rPr>
  </w:style>
  <w:style w:type="character" w:customStyle="1" w:styleId="a7">
    <w:name w:val="Нижний колонтитул Знак"/>
    <w:basedOn w:val="a0"/>
    <w:link w:val="a6"/>
    <w:uiPriority w:val="99"/>
    <w:rPr>
      <w:rFonts w:eastAsiaTheme="minorEastAsia" w:cs="Times New Roman"/>
      <w:lang w:eastAsia="ru-RU"/>
    </w:rPr>
  </w:style>
  <w:style w:type="paragraph" w:styleId="a8">
    <w:name w:val="Balloon Text"/>
    <w:basedOn w:val="a"/>
    <w:link w:val="a9"/>
    <w:uiPriority w:val="99"/>
    <w:semiHidden/>
    <w:unhideWhenUse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 w:type="table" w:styleId="aa">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a0"/>
    <w:uiPriority w:val="99"/>
    <w:rPr>
      <w:rFonts w:ascii="Times New Roman" w:hAnsi="Times New Roman" w:cs="Times New Roman"/>
      <w:sz w:val="24"/>
      <w:szCs w:val="24"/>
    </w:rPr>
  </w:style>
  <w:style w:type="character" w:customStyle="1" w:styleId="FontStyle32">
    <w:name w:val="Font Style32"/>
    <w:basedOn w:val="a0"/>
    <w:uiPriority w:val="99"/>
    <w:rPr>
      <w:rFonts w:ascii="Times New Roman" w:hAnsi="Times New Roman" w:cs="Times New Roman"/>
      <w:b/>
      <w:bCs/>
      <w:sz w:val="24"/>
      <w:szCs w:val="24"/>
    </w:r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pPr>
      <w:spacing w:line="240" w:lineRule="auto"/>
    </w:pPr>
    <w:rPr>
      <w:sz w:val="20"/>
    </w:rPr>
  </w:style>
  <w:style w:type="character" w:customStyle="1" w:styleId="ad">
    <w:name w:val="Текст примечания Знак"/>
    <w:basedOn w:val="a0"/>
    <w:link w:val="ac"/>
    <w:uiPriority w:val="99"/>
    <w:semiHidden/>
    <w:rPr>
      <w:rFonts w:ascii="Times New Roman CYR" w:eastAsia="Times New Roman" w:hAnsi="Times New Roman CYR" w:cs="Times New Roman"/>
      <w:sz w:val="20"/>
      <w:szCs w:val="20"/>
      <w:lang w:eastAsia="ru-RU"/>
    </w:rPr>
  </w:style>
  <w:style w:type="paragraph" w:styleId="ae">
    <w:name w:val="annotation subject"/>
    <w:basedOn w:val="ac"/>
    <w:next w:val="ac"/>
    <w:link w:val="af"/>
    <w:uiPriority w:val="99"/>
    <w:semiHidden/>
    <w:unhideWhenUsed/>
    <w:rPr>
      <w:b/>
      <w:bCs/>
    </w:rPr>
  </w:style>
  <w:style w:type="character" w:customStyle="1" w:styleId="af">
    <w:name w:val="Тема примечания Знак"/>
    <w:basedOn w:val="ad"/>
    <w:link w:val="ae"/>
    <w:uiPriority w:val="99"/>
    <w:semiHidden/>
    <w:rPr>
      <w:rFonts w:ascii="Times New Roman CYR" w:eastAsia="Times New Roman" w:hAnsi="Times New Roman CYR" w:cs="Times New Roman"/>
      <w:b/>
      <w:bCs/>
      <w:sz w:val="20"/>
      <w:szCs w:val="20"/>
      <w:lang w:eastAsia="ru-RU"/>
    </w:rPr>
  </w:style>
  <w:style w:type="character" w:customStyle="1" w:styleId="FontStyle21">
    <w:name w:val="Font Style21"/>
    <w:basedOn w:val="a0"/>
    <w:uiPriority w:val="99"/>
    <w:rPr>
      <w:rFonts w:ascii="Times New Roman" w:hAnsi="Times New Roman" w:cs="Times New Roman"/>
      <w:sz w:val="22"/>
      <w:szCs w:val="22"/>
    </w:rPr>
  </w:style>
  <w:style w:type="paragraph" w:styleId="3">
    <w:name w:val="Body Text Indent 3"/>
    <w:basedOn w:val="a"/>
    <w:link w:val="30"/>
    <w:uiPriority w:val="99"/>
    <w:semiHidden/>
    <w:unhideWhenUsed/>
    <w:pPr>
      <w:spacing w:after="120"/>
      <w:ind w:left="283"/>
    </w:pPr>
    <w:rPr>
      <w:sz w:val="16"/>
      <w:szCs w:val="16"/>
    </w:rPr>
  </w:style>
  <w:style w:type="character" w:customStyle="1" w:styleId="30">
    <w:name w:val="Основной текст с отступом 3 Знак"/>
    <w:basedOn w:val="a0"/>
    <w:link w:val="3"/>
    <w:uiPriority w:val="99"/>
    <w:semiHidden/>
    <w:rPr>
      <w:rFonts w:ascii="Times New Roman CYR" w:eastAsia="Times New Roman" w:hAnsi="Times New Roman CYR"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114">
      <w:bodyDiv w:val="1"/>
      <w:marLeft w:val="0"/>
      <w:marRight w:val="0"/>
      <w:marTop w:val="0"/>
      <w:marBottom w:val="0"/>
      <w:divBdr>
        <w:top w:val="none" w:sz="0" w:space="0" w:color="auto"/>
        <w:left w:val="none" w:sz="0" w:space="0" w:color="auto"/>
        <w:bottom w:val="none" w:sz="0" w:space="0" w:color="auto"/>
        <w:right w:val="none" w:sz="0" w:space="0" w:color="auto"/>
      </w:divBdr>
    </w:div>
    <w:div w:id="1114204785">
      <w:bodyDiv w:val="1"/>
      <w:marLeft w:val="0"/>
      <w:marRight w:val="0"/>
      <w:marTop w:val="0"/>
      <w:marBottom w:val="0"/>
      <w:divBdr>
        <w:top w:val="none" w:sz="0" w:space="0" w:color="auto"/>
        <w:left w:val="none" w:sz="0" w:space="0" w:color="auto"/>
        <w:bottom w:val="none" w:sz="0" w:space="0" w:color="auto"/>
        <w:right w:val="none" w:sz="0" w:space="0" w:color="auto"/>
      </w:divBdr>
    </w:div>
    <w:div w:id="1408764033">
      <w:bodyDiv w:val="1"/>
      <w:marLeft w:val="0"/>
      <w:marRight w:val="0"/>
      <w:marTop w:val="0"/>
      <w:marBottom w:val="0"/>
      <w:divBdr>
        <w:top w:val="none" w:sz="0" w:space="0" w:color="auto"/>
        <w:left w:val="none" w:sz="0" w:space="0" w:color="auto"/>
        <w:bottom w:val="none" w:sz="0" w:space="0" w:color="auto"/>
        <w:right w:val="none" w:sz="0" w:space="0" w:color="auto"/>
      </w:divBdr>
    </w:div>
    <w:div w:id="1568958451">
      <w:bodyDiv w:val="1"/>
      <w:marLeft w:val="0"/>
      <w:marRight w:val="0"/>
      <w:marTop w:val="0"/>
      <w:marBottom w:val="0"/>
      <w:divBdr>
        <w:top w:val="none" w:sz="0" w:space="0" w:color="auto"/>
        <w:left w:val="none" w:sz="0" w:space="0" w:color="auto"/>
        <w:bottom w:val="none" w:sz="0" w:space="0" w:color="auto"/>
        <w:right w:val="none" w:sz="0" w:space="0" w:color="auto"/>
      </w:divBdr>
    </w:div>
    <w:div w:id="21079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30F6-95C8-4B45-9747-6FEC16FD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5392</Words>
  <Characters>30740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 Е.М.</dc:creator>
  <cp:lastModifiedBy>Немешаева Наталья Левановна</cp:lastModifiedBy>
  <cp:revision>4</cp:revision>
  <cp:lastPrinted>2018-06-22T06:07:00Z</cp:lastPrinted>
  <dcterms:created xsi:type="dcterms:W3CDTF">2020-06-02T07:59:00Z</dcterms:created>
  <dcterms:modified xsi:type="dcterms:W3CDTF">2020-06-03T06:57:00Z</dcterms:modified>
</cp:coreProperties>
</file>